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195" w:rsidRPr="00CA0C7F" w:rsidRDefault="005B3195" w:rsidP="005B3195">
      <w:pPr>
        <w:pStyle w:val="Heading1"/>
        <w:jc w:val="center"/>
      </w:pPr>
      <w:bookmarkStart w:id="0" w:name="_GoBack"/>
      <w:bookmarkEnd w:id="0"/>
      <w:r w:rsidRPr="00CA0C7F">
        <w:t xml:space="preserve">Roles of </w:t>
      </w:r>
      <w:r>
        <w:t xml:space="preserve">Key Players </w:t>
      </w:r>
      <w:r w:rsidRPr="00CA0C7F">
        <w:t>in Service Learning</w:t>
      </w:r>
    </w:p>
    <w:p w:rsidR="005B3195" w:rsidRDefault="005B3195" w:rsidP="005B3195"/>
    <w:p w:rsidR="005B3195" w:rsidRDefault="005B3195" w:rsidP="005B3195">
      <w:r w:rsidRPr="00CA0C7F">
        <w:t xml:space="preserve">Service Learning involves youth, educators, families, community members, community-based organizations and/or businesses. </w:t>
      </w:r>
      <w:r>
        <w:t xml:space="preserve">Take care in placing students with partners/organizations in a place where they’ll be successful. Students’ knowledge, strengths and skills must be carefully taken into consideration by the Service Learning Coordinator. </w:t>
      </w:r>
    </w:p>
    <w:p w:rsidR="005B3195" w:rsidRPr="00CA0C7F" w:rsidRDefault="005B3195" w:rsidP="005B3195">
      <w:pPr>
        <w:rPr>
          <w:color w:val="F79646"/>
        </w:rPr>
      </w:pPr>
      <w:r>
        <w:t xml:space="preserve">Service Learning </w:t>
      </w:r>
      <w:r w:rsidRPr="00CA0C7F">
        <w:t>must be supported as a component of regular, high-quality instruction, not as an “add on” or as extra work</w:t>
      </w:r>
      <w:r>
        <w:t xml:space="preserve"> for the Service Learning Coordinator</w:t>
      </w:r>
      <w:r w:rsidRPr="00CA0C7F">
        <w:t>.</w:t>
      </w:r>
      <w:r>
        <w:rPr>
          <w:color w:val="F79646"/>
        </w:rPr>
        <w:t xml:space="preserve"> </w:t>
      </w:r>
      <w:r w:rsidRPr="00E86F7F">
        <w:t xml:space="preserve">It is </w:t>
      </w:r>
      <w:r>
        <w:t>important to collaboratively establish a shared vision at the school and set common goals to address community needs. Frequent and regular communication is important to keep all partners well-informed about activities and progress. Within the school, those that need to be well-informed are school board members, administrators, office personnel and coordinators.</w:t>
      </w:r>
    </w:p>
    <w:p w:rsidR="005B3195" w:rsidRPr="00362B07" w:rsidRDefault="005B3195" w:rsidP="005B3195">
      <w:pPr>
        <w:pStyle w:val="Heading3"/>
      </w:pPr>
      <w:r w:rsidRPr="00362B07">
        <w:t>School Board</w:t>
      </w:r>
    </w:p>
    <w:p w:rsidR="005B3195" w:rsidRPr="00637126" w:rsidRDefault="005B3195" w:rsidP="005B3195">
      <w:r>
        <w:t>The members of the school board should work to ensure district policies and practices not only allow for, but support exceptional Service Learning experiences. Funds must be allocated appropriately.</w:t>
      </w:r>
    </w:p>
    <w:p w:rsidR="005B3195" w:rsidRPr="003C6BEC" w:rsidRDefault="005B3195" w:rsidP="005B3195">
      <w:pPr>
        <w:pStyle w:val="Heading3"/>
      </w:pPr>
      <w:r w:rsidRPr="003C6BEC">
        <w:t>School Administrators</w:t>
      </w:r>
      <w:r>
        <w:t xml:space="preserve"> (Superintendent, Principal(s))</w:t>
      </w:r>
    </w:p>
    <w:p w:rsidR="005B3195" w:rsidRDefault="005B3195" w:rsidP="005B3195">
      <w:pPr>
        <w:tabs>
          <w:tab w:val="left" w:pos="3600"/>
          <w:tab w:val="left" w:pos="3690"/>
        </w:tabs>
      </w:pPr>
      <w:r>
        <w:t>School administrators must provide support to teachers and students for Service Learning, recognize its benefits to students and provide staff with transportation, insurance and the flexibility to facilitate Service Learning throughout all stages of the Service Learning Cycle.</w:t>
      </w:r>
    </w:p>
    <w:p w:rsidR="005B3195" w:rsidRPr="00166C53" w:rsidRDefault="005B3195" w:rsidP="005B3195">
      <w:pPr>
        <w:pStyle w:val="Heading3"/>
      </w:pPr>
      <w:r w:rsidRPr="00166C53">
        <w:t>Office Personnel (depending on the size and policies of the school)</w:t>
      </w:r>
    </w:p>
    <w:p w:rsidR="005B3195" w:rsidRDefault="005B3195" w:rsidP="005B3195">
      <w:pPr>
        <w:spacing w:after="0"/>
      </w:pPr>
      <w:r>
        <w:t>Office staff can act as the go-between for students and staff when students are out of the building for Service Learning experiences. They must keep accurate documentation as required.</w:t>
      </w:r>
    </w:p>
    <w:p w:rsidR="005B3195" w:rsidRDefault="005B3195" w:rsidP="005B3195">
      <w:pPr>
        <w:pStyle w:val="Heading3"/>
      </w:pPr>
      <w:r w:rsidRPr="00BE02A2">
        <w:t>Teacher</w:t>
      </w:r>
      <w:r>
        <w:t>s</w:t>
      </w:r>
    </w:p>
    <w:p w:rsidR="005B3195" w:rsidRPr="00BE02A2" w:rsidRDefault="005B3195" w:rsidP="005B3195">
      <w:pPr>
        <w:rPr>
          <w:u w:val="single"/>
        </w:rPr>
      </w:pPr>
      <w:r>
        <w:t xml:space="preserve">The teacher(s) in charge of Service Learning is responsible for communicating </w:t>
      </w:r>
      <w:r w:rsidRPr="000019FF">
        <w:t>cours</w:t>
      </w:r>
      <w:r>
        <w:t xml:space="preserve">e </w:t>
      </w:r>
      <w:r w:rsidRPr="000019FF">
        <w:t>goals</w:t>
      </w:r>
      <w:r>
        <w:t xml:space="preserve"> and expectations, making assignments, facilitating/teaching in-class activities and assigning grades. </w:t>
      </w:r>
      <w:r w:rsidR="004F1A22">
        <w:t xml:space="preserve">For more detail on the teacher/coordinator’s role, see page 2. </w:t>
      </w:r>
    </w:p>
    <w:p w:rsidR="005B3195" w:rsidRDefault="005B3195" w:rsidP="005B3195">
      <w:pPr>
        <w:pStyle w:val="Heading3"/>
      </w:pPr>
      <w:r w:rsidRPr="00901341">
        <w:t>Coordinators (depending on the size of school/Service Learning program</w:t>
      </w:r>
      <w:r>
        <w:t>, these responsibilities may fall on the Teacher’s plate</w:t>
      </w:r>
      <w:r w:rsidRPr="00901341">
        <w:t>)</w:t>
      </w:r>
    </w:p>
    <w:p w:rsidR="005B3195" w:rsidRPr="00901341" w:rsidRDefault="005B3195" w:rsidP="005B3195">
      <w:pPr>
        <w:tabs>
          <w:tab w:val="left" w:pos="2880"/>
        </w:tabs>
        <w:rPr>
          <w:b/>
          <w:bCs/>
        </w:rPr>
      </w:pPr>
      <w:r>
        <w:t xml:space="preserve">Coordinators can facilitate students through the Service Learning Cycle, ensure all releases and other documentation is in place, line up community partners, supervise students, communicate with key players, keep records and prepare media activities. </w:t>
      </w:r>
      <w:r w:rsidR="004F1A22">
        <w:t>For more detail on the teacher/coordinator’s role, see page 2.</w:t>
      </w:r>
    </w:p>
    <w:p w:rsidR="005B3195" w:rsidRDefault="005B3195" w:rsidP="005B3195">
      <w:pPr>
        <w:pStyle w:val="Heading3"/>
      </w:pPr>
      <w:r>
        <w:t>Site Supervisor</w:t>
      </w:r>
    </w:p>
    <w:p w:rsidR="00E15C0D" w:rsidRDefault="005B3195" w:rsidP="005B3195">
      <w:pPr>
        <w:tabs>
          <w:tab w:val="left" w:pos="3690"/>
        </w:tabs>
      </w:pPr>
      <w:r>
        <w:t>Site Supervisors provide a safe environment for students in their out-of-school activities, communicate expectations to students/coordinators/teachers/families and report successes and problems to school personnel</w:t>
      </w:r>
      <w:r w:rsidR="00056A10">
        <w:t>.</w:t>
      </w:r>
    </w:p>
    <w:p w:rsidR="00BD4460" w:rsidRDefault="00BD4460" w:rsidP="005B3195">
      <w:pPr>
        <w:tabs>
          <w:tab w:val="left" w:pos="3690"/>
        </w:tabs>
      </w:pPr>
    </w:p>
    <w:p w:rsidR="00BD4460" w:rsidRDefault="00BD4460" w:rsidP="005B3195">
      <w:pPr>
        <w:tabs>
          <w:tab w:val="left" w:pos="3690"/>
        </w:tabs>
      </w:pPr>
    </w:p>
    <w:p w:rsidR="00A8005D" w:rsidRPr="00A8005D" w:rsidRDefault="00A8005D" w:rsidP="00A8005D">
      <w:pPr>
        <w:pStyle w:val="Heading1"/>
        <w:jc w:val="center"/>
      </w:pPr>
      <w:r w:rsidRPr="00A8005D">
        <w:lastRenderedPageBreak/>
        <w:t xml:space="preserve">Service Learning </w:t>
      </w:r>
      <w:r>
        <w:t>Teacher/</w:t>
      </w:r>
      <w:r w:rsidRPr="00A8005D">
        <w:t>Coordinator Suggestions</w:t>
      </w:r>
    </w:p>
    <w:p w:rsidR="00A8005D" w:rsidRPr="00F82EF2" w:rsidRDefault="00A8005D" w:rsidP="00A8005D">
      <w:pPr>
        <w:spacing w:after="0"/>
        <w:jc w:val="center"/>
        <w:rPr>
          <w:b/>
          <w:sz w:val="16"/>
          <w:szCs w:val="16"/>
        </w:rPr>
      </w:pPr>
    </w:p>
    <w:p w:rsidR="00A8005D" w:rsidRPr="00E31401" w:rsidRDefault="00A8005D" w:rsidP="00A8005D">
      <w:pPr>
        <w:pStyle w:val="ListParagraph"/>
        <w:numPr>
          <w:ilvl w:val="0"/>
          <w:numId w:val="2"/>
        </w:numPr>
        <w:spacing w:after="0"/>
        <w:rPr>
          <w:rFonts w:ascii="Calibri" w:hAnsi="Calibri" w:cs="Calibri"/>
        </w:rPr>
      </w:pPr>
      <w:r w:rsidRPr="00E31401">
        <w:rPr>
          <w:rFonts w:ascii="Calibri" w:hAnsi="Calibri" w:cs="Calibri"/>
        </w:rPr>
        <w:t>Service Learning</w:t>
      </w:r>
      <w:r>
        <w:rPr>
          <w:rFonts w:ascii="Calibri" w:hAnsi="Calibri" w:cs="Calibri"/>
        </w:rPr>
        <w:t xml:space="preserve"> Teachers and/or C</w:t>
      </w:r>
      <w:r w:rsidRPr="00E31401">
        <w:rPr>
          <w:rFonts w:ascii="Calibri" w:hAnsi="Calibri" w:cs="Calibri"/>
        </w:rPr>
        <w:t>oordinators are required to keep excellent records on each student enrolled. It is imperative that all required paperwork such as Parent Releases, Transportation, Field Trips, etc</w:t>
      </w:r>
      <w:r>
        <w:rPr>
          <w:rFonts w:ascii="Calibri" w:hAnsi="Calibri" w:cs="Calibri"/>
        </w:rPr>
        <w:t>. be filed for each student</w:t>
      </w:r>
      <w:r w:rsidRPr="00E31401">
        <w:rPr>
          <w:rFonts w:ascii="Calibri" w:hAnsi="Calibri" w:cs="Calibri"/>
        </w:rPr>
        <w:t xml:space="preserve">. </w:t>
      </w:r>
    </w:p>
    <w:p w:rsidR="00A8005D" w:rsidRPr="00E31401" w:rsidRDefault="00A8005D" w:rsidP="00A8005D">
      <w:pPr>
        <w:pStyle w:val="ListParagraph"/>
        <w:numPr>
          <w:ilvl w:val="0"/>
          <w:numId w:val="2"/>
        </w:numPr>
        <w:spacing w:after="0"/>
        <w:rPr>
          <w:rFonts w:ascii="Calibri" w:hAnsi="Calibri" w:cs="Calibri"/>
        </w:rPr>
      </w:pPr>
      <w:r w:rsidRPr="00E31401">
        <w:rPr>
          <w:rFonts w:ascii="Calibri" w:hAnsi="Calibri" w:cs="Calibri"/>
        </w:rPr>
        <w:t xml:space="preserve">Keep track of student numbers per semester and </w:t>
      </w:r>
      <w:r>
        <w:rPr>
          <w:rFonts w:ascii="Calibri" w:hAnsi="Calibri" w:cs="Calibri"/>
        </w:rPr>
        <w:t xml:space="preserve">organization/business </w:t>
      </w:r>
      <w:r w:rsidRPr="00E31401">
        <w:rPr>
          <w:rFonts w:ascii="Calibri" w:hAnsi="Calibri" w:cs="Calibri"/>
        </w:rPr>
        <w:t>sites being used each semester. Keep all information on service sites such as: contact name</w:t>
      </w:r>
      <w:r>
        <w:rPr>
          <w:rFonts w:ascii="Calibri" w:hAnsi="Calibri" w:cs="Calibri"/>
        </w:rPr>
        <w:t>(s)</w:t>
      </w:r>
      <w:r w:rsidRPr="00E31401">
        <w:rPr>
          <w:rFonts w:ascii="Calibri" w:hAnsi="Calibri" w:cs="Calibri"/>
        </w:rPr>
        <w:t>, address, telephone number</w:t>
      </w:r>
      <w:r>
        <w:rPr>
          <w:rFonts w:ascii="Calibri" w:hAnsi="Calibri" w:cs="Calibri"/>
        </w:rPr>
        <w:t xml:space="preserve"> and</w:t>
      </w:r>
      <w:r w:rsidRPr="00E31401">
        <w:rPr>
          <w:rFonts w:ascii="Calibri" w:hAnsi="Calibri" w:cs="Calibri"/>
        </w:rPr>
        <w:t xml:space="preserve"> email address. </w:t>
      </w:r>
    </w:p>
    <w:p w:rsidR="00A8005D" w:rsidRPr="00E31401" w:rsidRDefault="00A8005D" w:rsidP="00A8005D">
      <w:pPr>
        <w:pStyle w:val="ListParagraph"/>
        <w:numPr>
          <w:ilvl w:val="0"/>
          <w:numId w:val="2"/>
        </w:numPr>
        <w:spacing w:after="0"/>
        <w:rPr>
          <w:rFonts w:ascii="Calibri" w:hAnsi="Calibri" w:cs="Calibri"/>
        </w:rPr>
      </w:pPr>
      <w:r w:rsidRPr="00E31401">
        <w:rPr>
          <w:rFonts w:ascii="Calibri" w:hAnsi="Calibri" w:cs="Calibri"/>
        </w:rPr>
        <w:t xml:space="preserve">When placing a student in the community, it is </w:t>
      </w:r>
      <w:r w:rsidR="00D20F13">
        <w:rPr>
          <w:rFonts w:ascii="Calibri" w:hAnsi="Calibri" w:cs="Calibri"/>
        </w:rPr>
        <w:t xml:space="preserve">recommended </w:t>
      </w:r>
      <w:r w:rsidRPr="00E31401">
        <w:rPr>
          <w:rFonts w:ascii="Calibri" w:hAnsi="Calibri" w:cs="Calibri"/>
        </w:rPr>
        <w:t>that the coordinator go with the student to the first appointment</w:t>
      </w:r>
      <w:r w:rsidR="00D20F13">
        <w:rPr>
          <w:rFonts w:ascii="Calibri" w:hAnsi="Calibri" w:cs="Calibri"/>
        </w:rPr>
        <w:t xml:space="preserve"> with the</w:t>
      </w:r>
      <w:r>
        <w:rPr>
          <w:rFonts w:ascii="Calibri" w:hAnsi="Calibri" w:cs="Calibri"/>
        </w:rPr>
        <w:t xml:space="preserve"> S</w:t>
      </w:r>
      <w:r w:rsidRPr="00E31401">
        <w:rPr>
          <w:rFonts w:ascii="Calibri" w:hAnsi="Calibri" w:cs="Calibri"/>
        </w:rPr>
        <w:t xml:space="preserve">ite </w:t>
      </w:r>
      <w:r>
        <w:rPr>
          <w:rFonts w:ascii="Calibri" w:hAnsi="Calibri" w:cs="Calibri"/>
        </w:rPr>
        <w:t>Coordinator</w:t>
      </w:r>
      <w:r w:rsidRPr="00E31401">
        <w:rPr>
          <w:rFonts w:ascii="Calibri" w:hAnsi="Calibri" w:cs="Calibri"/>
        </w:rPr>
        <w:t xml:space="preserve">. This gives the </w:t>
      </w:r>
      <w:r>
        <w:rPr>
          <w:rFonts w:ascii="Calibri" w:hAnsi="Calibri" w:cs="Calibri"/>
        </w:rPr>
        <w:t>Site Coordinator</w:t>
      </w:r>
      <w:r w:rsidRPr="00E31401">
        <w:rPr>
          <w:rFonts w:ascii="Calibri" w:hAnsi="Calibri" w:cs="Calibri"/>
        </w:rPr>
        <w:t xml:space="preserve"> a face to connect with and they understand that if any problems arise </w:t>
      </w:r>
      <w:r w:rsidR="00D20F13">
        <w:rPr>
          <w:rFonts w:ascii="Calibri" w:hAnsi="Calibri" w:cs="Calibri"/>
        </w:rPr>
        <w:t xml:space="preserve">the Service Learning teacher/coordinator will </w:t>
      </w:r>
      <w:r w:rsidRPr="00E31401">
        <w:rPr>
          <w:rFonts w:ascii="Calibri" w:hAnsi="Calibri" w:cs="Calibri"/>
        </w:rPr>
        <w:t xml:space="preserve">be the first person they call. This is also </w:t>
      </w:r>
      <w:r w:rsidR="00D20F13">
        <w:rPr>
          <w:rFonts w:ascii="Calibri" w:hAnsi="Calibri" w:cs="Calibri"/>
        </w:rPr>
        <w:t xml:space="preserve">recommended </w:t>
      </w:r>
      <w:r w:rsidRPr="00E31401">
        <w:rPr>
          <w:rFonts w:ascii="Calibri" w:hAnsi="Calibri" w:cs="Calibri"/>
        </w:rPr>
        <w:t>so that both parties hear and understand the requirements fo</w:t>
      </w:r>
      <w:r>
        <w:rPr>
          <w:rFonts w:ascii="Calibri" w:hAnsi="Calibri" w:cs="Calibri"/>
        </w:rPr>
        <w:t>r the student and the Site Coordinator</w:t>
      </w:r>
      <w:r w:rsidRPr="00E31401">
        <w:rPr>
          <w:rFonts w:ascii="Calibri" w:hAnsi="Calibri" w:cs="Calibri"/>
        </w:rPr>
        <w:t xml:space="preserve">. </w:t>
      </w:r>
    </w:p>
    <w:p w:rsidR="00A8005D" w:rsidRPr="00E31401" w:rsidRDefault="00A8005D" w:rsidP="00A8005D">
      <w:pPr>
        <w:pStyle w:val="ListParagraph"/>
        <w:numPr>
          <w:ilvl w:val="0"/>
          <w:numId w:val="2"/>
        </w:numPr>
        <w:spacing w:after="0"/>
        <w:rPr>
          <w:rFonts w:ascii="Calibri" w:hAnsi="Calibri" w:cs="Calibri"/>
        </w:rPr>
      </w:pPr>
      <w:r w:rsidRPr="00E31401">
        <w:rPr>
          <w:rFonts w:ascii="Calibri" w:hAnsi="Calibri" w:cs="Calibri"/>
        </w:rPr>
        <w:t xml:space="preserve">A total of 60-75 </w:t>
      </w:r>
      <w:r w:rsidR="00D20F13">
        <w:rPr>
          <w:rFonts w:ascii="Calibri" w:hAnsi="Calibri" w:cs="Calibri"/>
        </w:rPr>
        <w:t xml:space="preserve">hours </w:t>
      </w:r>
      <w:r w:rsidRPr="00E31401">
        <w:rPr>
          <w:rFonts w:ascii="Calibri" w:hAnsi="Calibri" w:cs="Calibri"/>
        </w:rPr>
        <w:t xml:space="preserve">which is a combination of </w:t>
      </w:r>
      <w:r w:rsidR="00D20F13">
        <w:rPr>
          <w:rFonts w:ascii="Calibri" w:hAnsi="Calibri" w:cs="Calibri"/>
        </w:rPr>
        <w:t xml:space="preserve">learning experiences, </w:t>
      </w:r>
      <w:r w:rsidRPr="00E31401">
        <w:rPr>
          <w:rFonts w:ascii="Calibri" w:hAnsi="Calibri" w:cs="Calibri"/>
        </w:rPr>
        <w:t xml:space="preserve">service </w:t>
      </w:r>
      <w:r w:rsidR="00D20F13">
        <w:rPr>
          <w:rFonts w:ascii="Calibri" w:hAnsi="Calibri" w:cs="Calibri"/>
        </w:rPr>
        <w:t xml:space="preserve">experiences and the final product or presentation </w:t>
      </w:r>
      <w:r w:rsidRPr="00E31401">
        <w:rPr>
          <w:rFonts w:ascii="Calibri" w:hAnsi="Calibri" w:cs="Calibri"/>
        </w:rPr>
        <w:t>must be completed to receive .5 credit</w:t>
      </w:r>
      <w:r w:rsidR="00D20F13">
        <w:rPr>
          <w:rFonts w:ascii="Calibri" w:hAnsi="Calibri" w:cs="Calibri"/>
        </w:rPr>
        <w:t>s</w:t>
      </w:r>
      <w:r w:rsidRPr="00E31401">
        <w:rPr>
          <w:rFonts w:ascii="Calibri" w:hAnsi="Calibri" w:cs="Calibri"/>
        </w:rPr>
        <w:t>.</w:t>
      </w:r>
    </w:p>
    <w:p w:rsidR="00A8005D" w:rsidRPr="00E31401" w:rsidRDefault="00A8005D" w:rsidP="00A8005D">
      <w:pPr>
        <w:pStyle w:val="ListParagraph"/>
        <w:numPr>
          <w:ilvl w:val="0"/>
          <w:numId w:val="2"/>
        </w:numPr>
        <w:spacing w:after="0"/>
        <w:rPr>
          <w:rFonts w:ascii="Calibri" w:hAnsi="Calibri" w:cs="Calibri"/>
        </w:rPr>
      </w:pPr>
      <w:r w:rsidRPr="00E31401">
        <w:rPr>
          <w:rFonts w:ascii="Calibri" w:hAnsi="Calibri" w:cs="Calibri"/>
        </w:rPr>
        <w:t>Be responsible when placing students. Make sure that the site is a healthy place for students. If a red flag goes up, it probably isn’t a good placement. Please tell students to notify you immediately of any suspect behavior at their site.</w:t>
      </w:r>
    </w:p>
    <w:p w:rsidR="00A8005D" w:rsidRPr="00E31401" w:rsidRDefault="00A8005D" w:rsidP="00A8005D">
      <w:pPr>
        <w:pStyle w:val="ListParagraph"/>
        <w:numPr>
          <w:ilvl w:val="0"/>
          <w:numId w:val="2"/>
        </w:numPr>
        <w:spacing w:after="0"/>
        <w:rPr>
          <w:rFonts w:ascii="Calibri" w:hAnsi="Calibri" w:cs="Calibri"/>
        </w:rPr>
      </w:pPr>
      <w:r w:rsidRPr="00E31401">
        <w:rPr>
          <w:rFonts w:ascii="Calibri" w:hAnsi="Calibri" w:cs="Calibri"/>
        </w:rPr>
        <w:t xml:space="preserve">Make sure students understand that they are the face of their school and they must be good ambassadors for the Service Learning program. Their good attendance and performance is critical to the success and continuation of the program. They are guiding the way for other students who may want the same experience. One bad incident will lose that service site </w:t>
      </w:r>
      <w:r w:rsidR="00047891">
        <w:rPr>
          <w:rFonts w:ascii="Calibri" w:hAnsi="Calibri" w:cs="Calibri"/>
        </w:rPr>
        <w:t xml:space="preserve">for </w:t>
      </w:r>
      <w:r w:rsidRPr="00E31401">
        <w:rPr>
          <w:rFonts w:ascii="Calibri" w:hAnsi="Calibri" w:cs="Calibri"/>
        </w:rPr>
        <w:t>the program.</w:t>
      </w:r>
    </w:p>
    <w:p w:rsidR="00A8005D" w:rsidRPr="00E31401" w:rsidRDefault="00A8005D" w:rsidP="00A8005D">
      <w:pPr>
        <w:pStyle w:val="ListParagraph"/>
        <w:numPr>
          <w:ilvl w:val="0"/>
          <w:numId w:val="2"/>
        </w:numPr>
        <w:rPr>
          <w:rFonts w:ascii="Calibri" w:hAnsi="Calibri" w:cs="Calibri"/>
        </w:rPr>
      </w:pPr>
      <w:r w:rsidRPr="00E31401">
        <w:rPr>
          <w:rFonts w:ascii="Calibri" w:hAnsi="Calibri" w:cs="Calibri"/>
        </w:rPr>
        <w:t xml:space="preserve">Tracking each student through their Service Learning experience is required so that students and service sites are monitored for any problems that may arise. </w:t>
      </w:r>
    </w:p>
    <w:p w:rsidR="00A8005D" w:rsidRPr="00E31401" w:rsidRDefault="00A8005D" w:rsidP="00A8005D">
      <w:pPr>
        <w:pStyle w:val="ListParagraph"/>
        <w:numPr>
          <w:ilvl w:val="0"/>
          <w:numId w:val="2"/>
        </w:numPr>
        <w:rPr>
          <w:rFonts w:ascii="Calibri" w:hAnsi="Calibri" w:cs="Calibri"/>
        </w:rPr>
      </w:pPr>
      <w:r w:rsidRPr="00E31401">
        <w:rPr>
          <w:rFonts w:ascii="Calibri" w:hAnsi="Calibri" w:cs="Calibri"/>
        </w:rPr>
        <w:t>Newsworthy events should be reported to the media. Present a consistent message within the community to promote the program in your school.</w:t>
      </w:r>
      <w:r w:rsidR="004F4F43">
        <w:rPr>
          <w:rFonts w:ascii="Calibri" w:hAnsi="Calibri" w:cs="Calibri"/>
        </w:rPr>
        <w:t xml:space="preserve"> School Administration should be notified prior to engaging media coverage.</w:t>
      </w:r>
    </w:p>
    <w:p w:rsidR="00A8005D" w:rsidRPr="00E31401" w:rsidRDefault="00A8005D" w:rsidP="00A8005D">
      <w:pPr>
        <w:pStyle w:val="ListParagraph"/>
        <w:numPr>
          <w:ilvl w:val="0"/>
          <w:numId w:val="1"/>
        </w:numPr>
        <w:rPr>
          <w:rFonts w:ascii="Calibri" w:hAnsi="Calibri" w:cs="Calibri"/>
        </w:rPr>
      </w:pPr>
      <w:r w:rsidRPr="00E31401">
        <w:rPr>
          <w:rFonts w:ascii="Calibri" w:hAnsi="Calibri" w:cs="Calibri"/>
        </w:rPr>
        <w:t>Check your district’s policy on transporting students in your personal car.</w:t>
      </w:r>
    </w:p>
    <w:p w:rsidR="00A8005D" w:rsidRPr="00E31401" w:rsidRDefault="00281782" w:rsidP="00A8005D">
      <w:pPr>
        <w:pStyle w:val="ListParagraph"/>
        <w:numPr>
          <w:ilvl w:val="0"/>
          <w:numId w:val="1"/>
        </w:numPr>
        <w:rPr>
          <w:rFonts w:ascii="Calibri" w:hAnsi="Calibri" w:cs="Calibri"/>
        </w:rPr>
      </w:pPr>
      <w:r>
        <w:rPr>
          <w:rFonts w:ascii="Calibri" w:hAnsi="Calibri" w:cs="Calibri"/>
        </w:rPr>
        <w:t xml:space="preserve">Personal thank </w:t>
      </w:r>
      <w:r w:rsidR="00A8005D" w:rsidRPr="00E31401">
        <w:rPr>
          <w:rFonts w:ascii="Calibri" w:hAnsi="Calibri" w:cs="Calibri"/>
        </w:rPr>
        <w:t xml:space="preserve">yous from you and your students should be required for all monetary and in-kind donations to your program. Details of all contributions both in hard dollars or in-kind products or services should be tracked. The value of community donations is significant to the Service Learning program and should be tracked and recognized. </w:t>
      </w:r>
    </w:p>
    <w:p w:rsidR="00A8005D" w:rsidRPr="00E31401" w:rsidRDefault="009E5865" w:rsidP="00A8005D">
      <w:pPr>
        <w:pStyle w:val="ListParagraph"/>
        <w:numPr>
          <w:ilvl w:val="0"/>
          <w:numId w:val="1"/>
        </w:numPr>
        <w:rPr>
          <w:rFonts w:ascii="Calibri" w:hAnsi="Calibri" w:cs="Calibri"/>
        </w:rPr>
      </w:pPr>
      <w:r>
        <w:rPr>
          <w:rFonts w:ascii="Calibri" w:hAnsi="Calibri" w:cs="Calibri"/>
        </w:rPr>
        <w:t>Teachers/</w:t>
      </w:r>
      <w:r w:rsidR="00A8005D" w:rsidRPr="00E31401">
        <w:rPr>
          <w:rFonts w:ascii="Calibri" w:hAnsi="Calibri" w:cs="Calibri"/>
        </w:rPr>
        <w:t>Coordinators should have business cards printed to use in the community.</w:t>
      </w:r>
    </w:p>
    <w:p w:rsidR="00BD4460" w:rsidRPr="00A8005D" w:rsidRDefault="009E5865" w:rsidP="00A8005D">
      <w:pPr>
        <w:pStyle w:val="ListParagraph"/>
        <w:numPr>
          <w:ilvl w:val="0"/>
          <w:numId w:val="1"/>
        </w:numPr>
        <w:rPr>
          <w:rFonts w:ascii="Calibri" w:hAnsi="Calibri" w:cs="Calibri"/>
        </w:rPr>
      </w:pPr>
      <w:r>
        <w:rPr>
          <w:rFonts w:ascii="Calibri" w:hAnsi="Calibri" w:cs="Calibri"/>
        </w:rPr>
        <w:t>Teachers/</w:t>
      </w:r>
      <w:r w:rsidR="00A8005D" w:rsidRPr="00E31401">
        <w:rPr>
          <w:rFonts w:ascii="Calibri" w:hAnsi="Calibri" w:cs="Calibri"/>
        </w:rPr>
        <w:t>Coordinators are working in the community with non-profits, businesses, etc. Dress professionally each day.</w:t>
      </w:r>
    </w:p>
    <w:sectPr w:rsidR="00BD4460" w:rsidRPr="00A8005D" w:rsidSect="005B319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17A" w:rsidRDefault="00F7017A" w:rsidP="005B3195">
      <w:pPr>
        <w:spacing w:after="0" w:line="240" w:lineRule="auto"/>
      </w:pPr>
      <w:r>
        <w:separator/>
      </w:r>
    </w:p>
  </w:endnote>
  <w:endnote w:type="continuationSeparator" w:id="0">
    <w:p w:rsidR="00F7017A" w:rsidRDefault="00F7017A" w:rsidP="005B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DC" w:rsidRDefault="00031B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1142"/>
      <w:gridCol w:w="9874"/>
    </w:tblGrid>
    <w:tr w:rsidR="005B3195" w:rsidRPr="0071197E" w:rsidTr="000E1903">
      <w:tc>
        <w:tcPr>
          <w:tcW w:w="918" w:type="dxa"/>
        </w:tcPr>
        <w:p w:rsidR="005B3195" w:rsidRPr="0071197E" w:rsidRDefault="005B3195" w:rsidP="000E1903">
          <w:pPr>
            <w:pStyle w:val="Footer"/>
            <w:jc w:val="right"/>
            <w:rPr>
              <w:b/>
              <w:bCs/>
              <w:i/>
              <w:color w:val="4F81BD"/>
            </w:rPr>
          </w:pPr>
          <w:r w:rsidRPr="0071197E">
            <w:rPr>
              <w:b/>
              <w:i/>
            </w:rPr>
            <w:fldChar w:fldCharType="begin"/>
          </w:r>
          <w:r w:rsidRPr="0071197E">
            <w:rPr>
              <w:b/>
              <w:i/>
            </w:rPr>
            <w:instrText xml:space="preserve"> PAGE   \* MERGEFORMAT </w:instrText>
          </w:r>
          <w:r w:rsidRPr="0071197E">
            <w:rPr>
              <w:b/>
              <w:i/>
            </w:rPr>
            <w:fldChar w:fldCharType="separate"/>
          </w:r>
          <w:r w:rsidR="00031BDC" w:rsidRPr="00031BDC">
            <w:rPr>
              <w:b/>
              <w:bCs/>
              <w:i/>
              <w:noProof/>
              <w:color w:val="4F81BD"/>
            </w:rPr>
            <w:t>1</w:t>
          </w:r>
          <w:r w:rsidRPr="0071197E">
            <w:rPr>
              <w:b/>
              <w:bCs/>
              <w:i/>
              <w:noProof/>
              <w:color w:val="4F81BD"/>
            </w:rPr>
            <w:fldChar w:fldCharType="end"/>
          </w:r>
        </w:p>
      </w:tc>
      <w:tc>
        <w:tcPr>
          <w:tcW w:w="7938" w:type="dxa"/>
        </w:tcPr>
        <w:p w:rsidR="005B3195" w:rsidRPr="0071197E" w:rsidRDefault="005B3195" w:rsidP="000E1903">
          <w:pPr>
            <w:pStyle w:val="Footer"/>
            <w:rPr>
              <w:b/>
            </w:rPr>
          </w:pPr>
          <w:r w:rsidRPr="0071197E">
            <w:rPr>
              <w:b/>
            </w:rPr>
            <w:t>South Dakota Department of Education</w:t>
          </w:r>
        </w:p>
      </w:tc>
    </w:tr>
  </w:tbl>
  <w:p w:rsidR="005B3195" w:rsidRDefault="005B31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DC" w:rsidRDefault="00031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17A" w:rsidRDefault="00F7017A" w:rsidP="005B3195">
      <w:pPr>
        <w:spacing w:after="0" w:line="240" w:lineRule="auto"/>
      </w:pPr>
      <w:r>
        <w:separator/>
      </w:r>
    </w:p>
  </w:footnote>
  <w:footnote w:type="continuationSeparator" w:id="0">
    <w:p w:rsidR="00F7017A" w:rsidRDefault="00F7017A" w:rsidP="005B3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DC" w:rsidRDefault="00031B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08"/>
      <w:gridCol w:w="3122"/>
    </w:tblGrid>
    <w:tr w:rsidR="005B3195" w:rsidRPr="0071197E" w:rsidTr="000E1903">
      <w:trPr>
        <w:trHeight w:val="288"/>
      </w:trPr>
      <w:tc>
        <w:tcPr>
          <w:tcW w:w="7495" w:type="dxa"/>
        </w:tcPr>
        <w:p w:rsidR="005B3195" w:rsidRPr="0071197E" w:rsidRDefault="00BF77E3" w:rsidP="000E1903">
          <w:pPr>
            <w:pStyle w:val="Header"/>
            <w:jc w:val="right"/>
            <w:rPr>
              <w:b/>
            </w:rPr>
          </w:pPr>
          <w:r>
            <w:rPr>
              <w:b/>
            </w:rPr>
            <w:t>Key Player Roles in Service Learning</w:t>
          </w:r>
        </w:p>
      </w:tc>
      <w:tc>
        <w:tcPr>
          <w:tcW w:w="2959" w:type="dxa"/>
        </w:tcPr>
        <w:p w:rsidR="005B3195" w:rsidRPr="0071197E" w:rsidRDefault="005B3195" w:rsidP="000E1903">
          <w:pPr>
            <w:pStyle w:val="Header"/>
            <w:rPr>
              <w:b/>
              <w:bCs/>
              <w:i/>
              <w:color w:val="4F81BD"/>
            </w:rPr>
          </w:pPr>
          <w:r w:rsidRPr="0071197E">
            <w:rPr>
              <w:b/>
              <w:bCs/>
              <w:i/>
              <w:color w:val="4F81BD"/>
            </w:rPr>
            <w:t>Program Establishment</w:t>
          </w:r>
        </w:p>
      </w:tc>
    </w:tr>
  </w:tbl>
  <w:p w:rsidR="005B3195" w:rsidRDefault="005B31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DC" w:rsidRDefault="00031B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C3756"/>
    <w:multiLevelType w:val="hybridMultilevel"/>
    <w:tmpl w:val="400C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3C1854"/>
    <w:multiLevelType w:val="hybridMultilevel"/>
    <w:tmpl w:val="B5FE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195"/>
    <w:rsid w:val="00031BDC"/>
    <w:rsid w:val="00047891"/>
    <w:rsid w:val="00056A10"/>
    <w:rsid w:val="00281782"/>
    <w:rsid w:val="003D32BF"/>
    <w:rsid w:val="004047DC"/>
    <w:rsid w:val="004048A0"/>
    <w:rsid w:val="004F1A22"/>
    <w:rsid w:val="004F4F43"/>
    <w:rsid w:val="005B3195"/>
    <w:rsid w:val="008C06C9"/>
    <w:rsid w:val="00934991"/>
    <w:rsid w:val="009D6B38"/>
    <w:rsid w:val="009E5865"/>
    <w:rsid w:val="00A8005D"/>
    <w:rsid w:val="00BD4460"/>
    <w:rsid w:val="00BF77E3"/>
    <w:rsid w:val="00C1696E"/>
    <w:rsid w:val="00D20F13"/>
    <w:rsid w:val="00E15C0D"/>
    <w:rsid w:val="00EC1741"/>
    <w:rsid w:val="00F7017A"/>
    <w:rsid w:val="00FC1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95"/>
    <w:rPr>
      <w:rFonts w:ascii="Calibri" w:eastAsia="Times New Roman" w:hAnsi="Calibri" w:cs="Calibri"/>
    </w:rPr>
  </w:style>
  <w:style w:type="paragraph" w:styleId="Heading1">
    <w:name w:val="heading 1"/>
    <w:basedOn w:val="Normal"/>
    <w:next w:val="Normal"/>
    <w:link w:val="Heading1Char"/>
    <w:uiPriority w:val="9"/>
    <w:qFormat/>
    <w:rsid w:val="005B31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B3195"/>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B3195"/>
    <w:pPr>
      <w:keepNext/>
      <w:keepLines/>
      <w:spacing w:before="200" w:after="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B3195"/>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rsid w:val="005B3195"/>
    <w:rPr>
      <w:rFonts w:ascii="Cambria" w:eastAsia="Times New Roman" w:hAnsi="Cambria" w:cs="Cambria"/>
      <w:b/>
      <w:bCs/>
      <w:color w:val="4F81BD"/>
    </w:rPr>
  </w:style>
  <w:style w:type="character" w:customStyle="1" w:styleId="Heading1Char">
    <w:name w:val="Heading 1 Char"/>
    <w:basedOn w:val="DefaultParagraphFont"/>
    <w:link w:val="Heading1"/>
    <w:uiPriority w:val="9"/>
    <w:rsid w:val="005B319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B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195"/>
    <w:rPr>
      <w:rFonts w:ascii="Calibri" w:eastAsia="Times New Roman" w:hAnsi="Calibri" w:cs="Calibri"/>
    </w:rPr>
  </w:style>
  <w:style w:type="paragraph" w:styleId="Footer">
    <w:name w:val="footer"/>
    <w:basedOn w:val="Normal"/>
    <w:link w:val="FooterChar"/>
    <w:uiPriority w:val="99"/>
    <w:unhideWhenUsed/>
    <w:rsid w:val="005B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195"/>
    <w:rPr>
      <w:rFonts w:ascii="Calibri" w:eastAsia="Times New Roman" w:hAnsi="Calibri" w:cs="Calibri"/>
    </w:rPr>
  </w:style>
  <w:style w:type="paragraph" w:styleId="ListParagraph">
    <w:name w:val="List Paragraph"/>
    <w:basedOn w:val="Normal"/>
    <w:uiPriority w:val="34"/>
    <w:qFormat/>
    <w:rsid w:val="00A8005D"/>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95"/>
    <w:rPr>
      <w:rFonts w:ascii="Calibri" w:eastAsia="Times New Roman" w:hAnsi="Calibri" w:cs="Calibri"/>
    </w:rPr>
  </w:style>
  <w:style w:type="paragraph" w:styleId="Heading1">
    <w:name w:val="heading 1"/>
    <w:basedOn w:val="Normal"/>
    <w:next w:val="Normal"/>
    <w:link w:val="Heading1Char"/>
    <w:uiPriority w:val="9"/>
    <w:qFormat/>
    <w:rsid w:val="005B31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B3195"/>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B3195"/>
    <w:pPr>
      <w:keepNext/>
      <w:keepLines/>
      <w:spacing w:before="200" w:after="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B3195"/>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rsid w:val="005B3195"/>
    <w:rPr>
      <w:rFonts w:ascii="Cambria" w:eastAsia="Times New Roman" w:hAnsi="Cambria" w:cs="Cambria"/>
      <w:b/>
      <w:bCs/>
      <w:color w:val="4F81BD"/>
    </w:rPr>
  </w:style>
  <w:style w:type="character" w:customStyle="1" w:styleId="Heading1Char">
    <w:name w:val="Heading 1 Char"/>
    <w:basedOn w:val="DefaultParagraphFont"/>
    <w:link w:val="Heading1"/>
    <w:uiPriority w:val="9"/>
    <w:rsid w:val="005B319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B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195"/>
    <w:rPr>
      <w:rFonts w:ascii="Calibri" w:eastAsia="Times New Roman" w:hAnsi="Calibri" w:cs="Calibri"/>
    </w:rPr>
  </w:style>
  <w:style w:type="paragraph" w:styleId="Footer">
    <w:name w:val="footer"/>
    <w:basedOn w:val="Normal"/>
    <w:link w:val="FooterChar"/>
    <w:uiPriority w:val="99"/>
    <w:unhideWhenUsed/>
    <w:rsid w:val="005B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195"/>
    <w:rPr>
      <w:rFonts w:ascii="Calibri" w:eastAsia="Times New Roman" w:hAnsi="Calibri" w:cs="Calibri"/>
    </w:rPr>
  </w:style>
  <w:style w:type="paragraph" w:styleId="ListParagraph">
    <w:name w:val="List Paragraph"/>
    <w:basedOn w:val="Normal"/>
    <w:uiPriority w:val="34"/>
    <w:qFormat/>
    <w:rsid w:val="00A8005D"/>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4609</Characters>
  <Application>Microsoft Office Word</Application>
  <DocSecurity>0</DocSecurity>
  <Lines>68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2013-03-13T18:17:47.4694462Z</dcterms:created>
  <dcterms:modified xsi:type="dcterms:W3CDTF">2013-03-13T18:17:47.4694462Z</dcterms:modified>
</cp:coreProperties>
</file>