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79" w:rsidRPr="004C1741" w:rsidRDefault="004E3D79" w:rsidP="00BB6181">
      <w:pPr>
        <w:pStyle w:val="Heading1"/>
        <w:spacing w:before="0"/>
      </w:pPr>
      <w:bookmarkStart w:id="0" w:name="_GoBack"/>
      <w:bookmarkEnd w:id="0"/>
      <w:r w:rsidRPr="004C1741">
        <w:t>Service Learning Snapshot</w:t>
      </w:r>
    </w:p>
    <w:p w:rsidR="00035A04" w:rsidRPr="004C1741" w:rsidRDefault="00BB6181" w:rsidP="00BB6181">
      <w:pPr>
        <w:pStyle w:val="Heading2"/>
        <w:spacing w:before="0"/>
      </w:pPr>
      <w:r>
        <w:t xml:space="preserve">for </w:t>
      </w:r>
      <w:r w:rsidR="00AB3FFB" w:rsidRPr="004C1741">
        <w:t>Teachers and Coordinators</w:t>
      </w:r>
    </w:p>
    <w:p w:rsidR="00FF2473" w:rsidRPr="004C1741" w:rsidRDefault="00FF2473" w:rsidP="009604AE">
      <w:pPr>
        <w:spacing w:after="0"/>
        <w:rPr>
          <w:b/>
        </w:rPr>
      </w:pPr>
    </w:p>
    <w:p w:rsidR="00035A04" w:rsidRPr="004C1741" w:rsidRDefault="00035A04" w:rsidP="00BB6181">
      <w:pPr>
        <w:pStyle w:val="Heading3"/>
      </w:pPr>
      <w:r w:rsidRPr="004C1741">
        <w:t>What is Service Learning?</w:t>
      </w:r>
    </w:p>
    <w:p w:rsidR="009604AE" w:rsidRPr="004C1741" w:rsidRDefault="009604AE" w:rsidP="00D03837">
      <w:r w:rsidRPr="004C1741">
        <w:t xml:space="preserve">Service Learning is a flexible method of teaching and learning that applies academic and real-world skills to create meaningful youth-led experiences with community partnerships. The goal of </w:t>
      </w:r>
      <w:r w:rsidR="009D0160">
        <w:t>S</w:t>
      </w:r>
      <w:r w:rsidRPr="004C1741">
        <w:t xml:space="preserve">ervice </w:t>
      </w:r>
      <w:r w:rsidR="009D0160">
        <w:t>L</w:t>
      </w:r>
      <w:r w:rsidRPr="004C1741">
        <w:t>earning is to empower youth to become engaged in their personal, social and working lives.</w:t>
      </w:r>
      <w:r w:rsidR="00035A04" w:rsidRPr="004C1741">
        <w:t xml:space="preserve"> </w:t>
      </w:r>
    </w:p>
    <w:p w:rsidR="00A47CC8" w:rsidRPr="004C1741" w:rsidRDefault="00A47CC8" w:rsidP="00BB6181">
      <w:pPr>
        <w:pStyle w:val="Heading3"/>
      </w:pPr>
      <w:r w:rsidRPr="004C1741">
        <w:t xml:space="preserve">What are the Benefits of Service Learning? </w:t>
      </w:r>
    </w:p>
    <w:p w:rsidR="00673FE2" w:rsidRPr="004C1741" w:rsidRDefault="004E3D79" w:rsidP="00D03837">
      <w:pPr>
        <w:rPr>
          <w:b/>
        </w:rPr>
      </w:pPr>
      <w:r w:rsidRPr="004C1741">
        <w:t>Students</w:t>
      </w:r>
      <w:r w:rsidR="00A47CC8" w:rsidRPr="004C1741">
        <w:t xml:space="preserve"> engaged in Service Learning are more academically proficient. </w:t>
      </w:r>
      <w:r w:rsidRPr="004C1741">
        <w:t>Students who participate in Service Learning experiences are more workforce ready, motivated to learn, committed to civic participation and connected to their schools and communit</w:t>
      </w:r>
      <w:r w:rsidR="009D0160">
        <w:t>ies.</w:t>
      </w:r>
      <w:r w:rsidRPr="004C1741">
        <w:t xml:space="preserve"> </w:t>
      </w:r>
      <w:r w:rsidR="009D0160">
        <w:t xml:space="preserve">Service Learning has proven to develop and improve the following skills: analysis, critical thinking, communication, problem solving, research and public speaking.  </w:t>
      </w:r>
    </w:p>
    <w:p w:rsidR="00466384" w:rsidRPr="004C1741" w:rsidRDefault="00673FE2" w:rsidP="00BB6181">
      <w:pPr>
        <w:pStyle w:val="Heading3"/>
      </w:pPr>
      <w:r w:rsidRPr="004C1741">
        <w:t xml:space="preserve">How is Service Learning implemented? </w:t>
      </w:r>
    </w:p>
    <w:p w:rsidR="00AB3FFB" w:rsidRPr="004C1741" w:rsidRDefault="00673FE2" w:rsidP="00D03837">
      <w:r w:rsidRPr="004C1741">
        <w:t>Service Learning experiences can involve a single student, a group of students, a classroom or a whole school.</w:t>
      </w:r>
      <w:r w:rsidR="00EE4FE1">
        <w:t xml:space="preserve"> </w:t>
      </w:r>
      <w:r w:rsidR="00721515" w:rsidRPr="004C1741">
        <w:t xml:space="preserve">The goals, objectives, resources and administrative support largely determine how a school may structure its </w:t>
      </w:r>
      <w:r w:rsidR="009D0160">
        <w:t>S</w:t>
      </w:r>
      <w:r w:rsidR="00721515" w:rsidRPr="004C1741">
        <w:t xml:space="preserve">ervice </w:t>
      </w:r>
      <w:r w:rsidR="009D0160">
        <w:t>L</w:t>
      </w:r>
      <w:r w:rsidR="00721515" w:rsidRPr="004C1741">
        <w:t xml:space="preserve">earning program. </w:t>
      </w:r>
      <w:r w:rsidRPr="004C1741">
        <w:t>Service Learning may be its own stand alone class or can be incorporated into the curriculum of an existing class.</w:t>
      </w:r>
      <w:r w:rsidR="00721515" w:rsidRPr="004C1741">
        <w:t xml:space="preserve"> </w:t>
      </w:r>
    </w:p>
    <w:p w:rsidR="00AB3FFB" w:rsidRPr="004C1741" w:rsidRDefault="00AB3FFB" w:rsidP="00BB6181">
      <w:pPr>
        <w:pStyle w:val="Heading3"/>
      </w:pPr>
      <w:r w:rsidRPr="004C1741">
        <w:t>What are the responsibilities of the Teacher/Coordinator?</w:t>
      </w:r>
    </w:p>
    <w:p w:rsidR="00307250" w:rsidRPr="004C1741" w:rsidRDefault="00D03837" w:rsidP="00D038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1B3F21" wp14:editId="67519F9D">
                <wp:simplePos x="0" y="0"/>
                <wp:positionH relativeFrom="margin">
                  <wp:posOffset>5048250</wp:posOffset>
                </wp:positionH>
                <wp:positionV relativeFrom="margin">
                  <wp:posOffset>5324475</wp:posOffset>
                </wp:positionV>
                <wp:extent cx="1795780" cy="2663190"/>
                <wp:effectExtent l="19050" t="19050" r="13970" b="10160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266319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0173" w:rsidRDefault="00C40173" w:rsidP="00EE4FE1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 w:rsidRPr="000704AD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SD’s Standards of Quality Service Learning:</w:t>
                            </w:r>
                          </w:p>
                          <w:p w:rsidR="00C40173" w:rsidRPr="000704AD" w:rsidRDefault="00C40173" w:rsidP="00EE4FE1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0"/>
                              </w:rPr>
                            </w:pPr>
                          </w:p>
                          <w:p w:rsidR="00C40173" w:rsidRDefault="00C40173" w:rsidP="00EE4FE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Meaningful Service</w:t>
                            </w:r>
                          </w:p>
                          <w:p w:rsidR="00C40173" w:rsidRDefault="00C40173" w:rsidP="00EE4FE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Link to Curriculum</w:t>
                            </w:r>
                          </w:p>
                          <w:p w:rsidR="00C40173" w:rsidRDefault="00C40173" w:rsidP="00EE4FE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Reflection</w:t>
                            </w:r>
                          </w:p>
                          <w:p w:rsidR="00C40173" w:rsidRDefault="00C40173" w:rsidP="00EE4FE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Diversity</w:t>
                            </w:r>
                          </w:p>
                          <w:p w:rsidR="00C40173" w:rsidRDefault="00C40173" w:rsidP="00EE4FE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Youth Voice</w:t>
                            </w:r>
                          </w:p>
                          <w:p w:rsidR="00C40173" w:rsidRDefault="00C40173" w:rsidP="00EE4FE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Partnerships</w:t>
                            </w:r>
                          </w:p>
                          <w:p w:rsidR="00C40173" w:rsidRDefault="00C40173" w:rsidP="00EE4FE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Progress Monitoring</w:t>
                            </w:r>
                          </w:p>
                          <w:p w:rsidR="00C40173" w:rsidRDefault="00C40173" w:rsidP="00EE4FE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Duration and Intensity</w:t>
                            </w:r>
                          </w:p>
                          <w:p w:rsidR="00C40173" w:rsidRPr="000704AD" w:rsidRDefault="00C40173" w:rsidP="00EE4FE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Career Development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397.5pt;margin-top:419.25pt;width:141.4pt;height:20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C40173" w:rsidRDefault="00C40173" w:rsidP="00EE4FE1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 w:rsidRPr="000704AD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SD’s Standards of Quality Service Learning:</w:t>
                      </w:r>
                    </w:p>
                    <w:p w:rsidR="00C40173" w:rsidRPr="000704AD" w:rsidRDefault="00C40173" w:rsidP="00EE4FE1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10"/>
                        </w:rPr>
                      </w:pPr>
                    </w:p>
                    <w:p w:rsidR="00C40173" w:rsidRDefault="00C40173" w:rsidP="00EE4FE1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Meaningful Service</w:t>
                      </w:r>
                    </w:p>
                    <w:p w:rsidR="00C40173" w:rsidRDefault="00C40173" w:rsidP="00EE4FE1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Link to Curriculum</w:t>
                      </w:r>
                    </w:p>
                    <w:p w:rsidR="00C40173" w:rsidRDefault="00C40173" w:rsidP="00EE4FE1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Reflection</w:t>
                      </w:r>
                    </w:p>
                    <w:p w:rsidR="00C40173" w:rsidRDefault="00C40173" w:rsidP="00EE4FE1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Diversity</w:t>
                      </w:r>
                    </w:p>
                    <w:p w:rsidR="00C40173" w:rsidRDefault="00C40173" w:rsidP="00EE4FE1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Youth Voice</w:t>
                      </w:r>
                    </w:p>
                    <w:p w:rsidR="00C40173" w:rsidRDefault="00C40173" w:rsidP="00EE4FE1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Partnerships</w:t>
                      </w:r>
                    </w:p>
                    <w:p w:rsidR="00C40173" w:rsidRDefault="00C40173" w:rsidP="00EE4FE1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Progress Monitoring</w:t>
                      </w:r>
                    </w:p>
                    <w:p w:rsidR="00C40173" w:rsidRDefault="00C40173" w:rsidP="00EE4FE1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Duration and Intensity</w:t>
                      </w:r>
                    </w:p>
                    <w:p w:rsidR="00C40173" w:rsidRPr="000704AD" w:rsidRDefault="00C40173" w:rsidP="00EE4FE1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Career Development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21515" w:rsidRPr="004C1741">
        <w:t>Service Learning teachers serve as facilitators and guide meaningful</w:t>
      </w:r>
      <w:r w:rsidR="00EE4FE1">
        <w:t>, student-</w:t>
      </w:r>
      <w:r w:rsidR="00307250" w:rsidRPr="004C1741">
        <w:t>led</w:t>
      </w:r>
      <w:r w:rsidR="00EE4FE1">
        <w:t xml:space="preserve"> </w:t>
      </w:r>
      <w:r w:rsidR="00721515" w:rsidRPr="004C1741">
        <w:t>experiences.</w:t>
      </w:r>
      <w:r w:rsidR="00AB3FFB" w:rsidRPr="004C1741">
        <w:t xml:space="preserve"> It is the responsibility of the teacher/coordinator to communicate expectations and goals to students, communicate with administration and community partners, create assignments, provide orientations and evaluations for students and partners, acquire necessary releases and documentat</w:t>
      </w:r>
      <w:r w:rsidR="007C4FE4">
        <w:t xml:space="preserve">ion, and assign grades. The </w:t>
      </w:r>
      <w:r w:rsidR="001A4ACD">
        <w:t xml:space="preserve">Service Learning Teacher </w:t>
      </w:r>
      <w:r w:rsidR="00AB3FFB" w:rsidRPr="004C1741">
        <w:t xml:space="preserve">must have </w:t>
      </w:r>
      <w:r w:rsidR="001A4ACD">
        <w:t>valid 7</w:t>
      </w:r>
      <w:r w:rsidR="001A4ACD" w:rsidRPr="001A4ACD">
        <w:rPr>
          <w:vertAlign w:val="superscript"/>
        </w:rPr>
        <w:t>th</w:t>
      </w:r>
      <w:r w:rsidR="001A4ACD">
        <w:t>-12</w:t>
      </w:r>
      <w:r w:rsidR="001A4ACD" w:rsidRPr="001A4ACD">
        <w:rPr>
          <w:vertAlign w:val="superscript"/>
        </w:rPr>
        <w:t>th</w:t>
      </w:r>
      <w:r w:rsidR="001A4ACD">
        <w:t xml:space="preserve"> grade certification, along with other considerations (see the “Teacher Certification for Service Learning” in the SD Service Learning Framework for more information)</w:t>
      </w:r>
      <w:r w:rsidR="007C4FE4">
        <w:t>.</w:t>
      </w:r>
      <w:r w:rsidR="00AB3FFB" w:rsidRPr="004C1741">
        <w:t xml:space="preserve"> </w:t>
      </w:r>
      <w:r>
        <w:t>Teachers</w:t>
      </w:r>
      <w:r w:rsidR="00AB3FFB" w:rsidRPr="004C1741">
        <w:t xml:space="preserve"> must possess strong communication skills, resourcefulness, flexibility, enthusiasm,</w:t>
      </w:r>
      <w:r w:rsidR="00DE6FE2" w:rsidRPr="004C1741">
        <w:t xml:space="preserve"> and a do-what-it-takes attitude. </w:t>
      </w:r>
    </w:p>
    <w:p w:rsidR="00EE4FE1" w:rsidRPr="007B6B81" w:rsidRDefault="00EE4FE1" w:rsidP="00EE4FE1">
      <w:pPr>
        <w:pStyle w:val="Heading3"/>
      </w:pPr>
      <w:r w:rsidRPr="00307250">
        <w:t xml:space="preserve">What are the student requirements for </w:t>
      </w:r>
      <w:r>
        <w:t>c</w:t>
      </w:r>
      <w:r w:rsidRPr="00307250">
        <w:t>redit?</w:t>
      </w:r>
      <w:r>
        <w:t xml:space="preserve"> </w:t>
      </w:r>
    </w:p>
    <w:p w:rsidR="00EE4FE1" w:rsidRPr="00307250" w:rsidRDefault="00EE4FE1" w:rsidP="00D03837">
      <w:r>
        <w:t>For students entering 9</w:t>
      </w:r>
      <w:r w:rsidRPr="00035A04">
        <w:rPr>
          <w:vertAlign w:val="superscript"/>
        </w:rPr>
        <w:t>th</w:t>
      </w:r>
      <w:r>
        <w:t xml:space="preserve"> grade in the 2010-11 school</w:t>
      </w:r>
      <w:r w:rsidR="009D0160">
        <w:t xml:space="preserve"> year</w:t>
      </w:r>
      <w:r>
        <w:t xml:space="preserve">, of the 22 credit hours required for graduation, one unit must be comprised of any combination of approved CTE courses, capstone or </w:t>
      </w:r>
      <w:r w:rsidR="009D0160">
        <w:t>S</w:t>
      </w:r>
      <w:r>
        <w:t xml:space="preserve">ervice </w:t>
      </w:r>
      <w:r w:rsidR="009D0160">
        <w:t>L</w:t>
      </w:r>
      <w:r>
        <w:t xml:space="preserve">earning experiences or world language courses. </w:t>
      </w:r>
      <w:r w:rsidRPr="00307250">
        <w:t>A total of 60 – 75 hours</w:t>
      </w:r>
      <w:r>
        <w:t xml:space="preserve"> of work</w:t>
      </w:r>
      <w:r w:rsidRPr="00307250">
        <w:t xml:space="preserve">, which can be a combination of </w:t>
      </w:r>
      <w:r>
        <w:t xml:space="preserve">learning experiences, service experiences and a project/presentation </w:t>
      </w:r>
      <w:r w:rsidRPr="00307250">
        <w:t xml:space="preserve">must be completed to </w:t>
      </w:r>
      <w:r>
        <w:t xml:space="preserve">receive .5 </w:t>
      </w:r>
      <w:r w:rsidR="009D0160">
        <w:t>S</w:t>
      </w:r>
      <w:r>
        <w:t xml:space="preserve">ervice </w:t>
      </w:r>
      <w:r w:rsidR="009D0160">
        <w:t>L</w:t>
      </w:r>
      <w:r>
        <w:t xml:space="preserve">earning </w:t>
      </w:r>
      <w:r w:rsidRPr="00307250">
        <w:t>credit.</w:t>
      </w:r>
      <w:r>
        <w:t xml:space="preserve"> The nine Standards of Quality Service Learning must be addressed in each </w:t>
      </w:r>
      <w:r w:rsidR="009D0160">
        <w:t>S</w:t>
      </w:r>
      <w:r>
        <w:t xml:space="preserve">ervice </w:t>
      </w:r>
      <w:r w:rsidR="009D0160">
        <w:t>L</w:t>
      </w:r>
      <w:r>
        <w:t xml:space="preserve">earning experience as well. </w:t>
      </w:r>
    </w:p>
    <w:p w:rsidR="009E2637" w:rsidRPr="004C1741" w:rsidRDefault="00BB6181" w:rsidP="00BB6181">
      <w:pPr>
        <w:pStyle w:val="Heading3"/>
      </w:pPr>
      <w:r>
        <w:t>I</w:t>
      </w:r>
      <w:r w:rsidR="009E2637" w:rsidRPr="004C1741">
        <w:t xml:space="preserve">ssues to Consider: </w:t>
      </w:r>
    </w:p>
    <w:p w:rsidR="009E2637" w:rsidRPr="004C1741" w:rsidRDefault="009E2637" w:rsidP="00D03837">
      <w:r w:rsidRPr="004C1741">
        <w:t>Service Learning experiences which take students out of the school building</w:t>
      </w:r>
      <w:r w:rsidR="00307250" w:rsidRPr="004C1741">
        <w:t xml:space="preserve"> contain an element of risk.</w:t>
      </w:r>
      <w:r w:rsidR="00EE4FE1">
        <w:t xml:space="preserve"> </w:t>
      </w:r>
      <w:r w:rsidR="00307250" w:rsidRPr="004C1741">
        <w:t xml:space="preserve">Attention should be paid to the issues of student </w:t>
      </w:r>
      <w:r w:rsidR="009D0160">
        <w:t>transportation, confidentiality</w:t>
      </w:r>
      <w:r w:rsidR="00307250" w:rsidRPr="004C1741">
        <w:t xml:space="preserve"> and safety, with appropriate liability release forms implemented to protect our students and our school district. Some </w:t>
      </w:r>
      <w:r w:rsidR="009D0160">
        <w:t>S</w:t>
      </w:r>
      <w:r w:rsidR="00307250" w:rsidRPr="004C1741">
        <w:t xml:space="preserve">ervice </w:t>
      </w:r>
      <w:r w:rsidR="009D0160">
        <w:t>L</w:t>
      </w:r>
      <w:r w:rsidR="00307250" w:rsidRPr="004C1741">
        <w:t xml:space="preserve">earning experiences may have </w:t>
      </w:r>
      <w:r w:rsidR="009D0160">
        <w:t xml:space="preserve">associated </w:t>
      </w:r>
      <w:r w:rsidR="00307250" w:rsidRPr="004C1741">
        <w:t>costs. These may be covered by</w:t>
      </w:r>
      <w:r w:rsidR="00531CB0">
        <w:t xml:space="preserve"> the school district or by</w:t>
      </w:r>
      <w:r w:rsidR="00307250" w:rsidRPr="004C1741">
        <w:t xml:space="preserve"> enga</w:t>
      </w:r>
      <w:r w:rsidR="004C1741" w:rsidRPr="004C1741">
        <w:t>ged partners in</w:t>
      </w:r>
      <w:r w:rsidR="00307250" w:rsidRPr="004C1741">
        <w:t xml:space="preserve"> the community. </w:t>
      </w:r>
    </w:p>
    <w:p w:rsidR="00721515" w:rsidRPr="005E6DC3" w:rsidRDefault="00EE4FE1" w:rsidP="00EE4FE1">
      <w:pPr>
        <w:pStyle w:val="IntenseQuote"/>
        <w:ind w:left="1440"/>
        <w:rPr>
          <w:b w:val="0"/>
        </w:rPr>
      </w:pPr>
      <w:r w:rsidRPr="00763367">
        <w:rPr>
          <w:rStyle w:val="Heading2Char"/>
          <w:rFonts w:asciiTheme="minorHAnsi" w:eastAsiaTheme="minorEastAsia" w:hAnsiTheme="minorHAnsi" w:cstheme="minorBidi"/>
          <w:b/>
          <w:bCs/>
          <w:sz w:val="22"/>
          <w:szCs w:val="22"/>
        </w:rPr>
        <w:t>To access the SD Service Learning Framework and additional resources, visit</w:t>
      </w:r>
      <w:r w:rsidRPr="00763367">
        <w:rPr>
          <w:rStyle w:val="Heading3Char"/>
          <w:rFonts w:asciiTheme="minorHAnsi" w:eastAsiaTheme="minorEastAsia" w:hAnsiTheme="minorHAnsi" w:cstheme="minorBidi"/>
          <w:b/>
          <w:bCs/>
        </w:rPr>
        <w:t xml:space="preserve"> </w:t>
      </w:r>
      <w:r w:rsidRPr="00EE4FE1">
        <w:t>http://doe.sd.gov/octe/servicelearning.asp</w:t>
      </w:r>
      <w:r w:rsidRPr="00763367">
        <w:t xml:space="preserve">. </w:t>
      </w:r>
    </w:p>
    <w:sectPr w:rsidR="00721515" w:rsidRPr="005E6DC3" w:rsidSect="00BB61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AE"/>
    <w:rsid w:val="0001427B"/>
    <w:rsid w:val="00035A04"/>
    <w:rsid w:val="00113E5E"/>
    <w:rsid w:val="00114177"/>
    <w:rsid w:val="001306CE"/>
    <w:rsid w:val="00157E67"/>
    <w:rsid w:val="001A4ACD"/>
    <w:rsid w:val="00263A26"/>
    <w:rsid w:val="00307250"/>
    <w:rsid w:val="00355237"/>
    <w:rsid w:val="00466384"/>
    <w:rsid w:val="004B439A"/>
    <w:rsid w:val="004C1741"/>
    <w:rsid w:val="004E3D79"/>
    <w:rsid w:val="00531CB0"/>
    <w:rsid w:val="005D1FBF"/>
    <w:rsid w:val="005E6DC3"/>
    <w:rsid w:val="00631273"/>
    <w:rsid w:val="00635FA1"/>
    <w:rsid w:val="00673FE2"/>
    <w:rsid w:val="00721515"/>
    <w:rsid w:val="007C4FE4"/>
    <w:rsid w:val="00814A6D"/>
    <w:rsid w:val="009604AE"/>
    <w:rsid w:val="0099652E"/>
    <w:rsid w:val="009D0160"/>
    <w:rsid w:val="009D2FC3"/>
    <w:rsid w:val="009E2637"/>
    <w:rsid w:val="00A47CC8"/>
    <w:rsid w:val="00AB3FFB"/>
    <w:rsid w:val="00AF3FB9"/>
    <w:rsid w:val="00BA10A3"/>
    <w:rsid w:val="00BB6181"/>
    <w:rsid w:val="00C40173"/>
    <w:rsid w:val="00C51F3B"/>
    <w:rsid w:val="00CF268F"/>
    <w:rsid w:val="00D03837"/>
    <w:rsid w:val="00DE6FE2"/>
    <w:rsid w:val="00E55134"/>
    <w:rsid w:val="00EE4FE1"/>
    <w:rsid w:val="00F00108"/>
    <w:rsid w:val="00F42CE9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1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1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38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B61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B61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F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FE1"/>
    <w:rPr>
      <w:rFonts w:eastAsiaTheme="minorEastAsia"/>
      <w:b/>
      <w:bCs/>
      <w:i/>
      <w:iCs/>
      <w:color w:val="4F81BD" w:themeColor="accent1"/>
    </w:rPr>
  </w:style>
  <w:style w:type="character" w:styleId="Hyperlink">
    <w:name w:val="Hyperlink"/>
    <w:uiPriority w:val="99"/>
    <w:rsid w:val="00EE4FE1"/>
    <w:rPr>
      <w:color w:val="0000FF"/>
      <w:u w:val="single"/>
    </w:rPr>
  </w:style>
  <w:style w:type="paragraph" w:styleId="NoSpacing">
    <w:name w:val="No Spacing"/>
    <w:uiPriority w:val="1"/>
    <w:qFormat/>
    <w:rsid w:val="00D0383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038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C40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1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1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1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1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1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38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B61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B61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F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FE1"/>
    <w:rPr>
      <w:rFonts w:eastAsiaTheme="minorEastAsia"/>
      <w:b/>
      <w:bCs/>
      <w:i/>
      <w:iCs/>
      <w:color w:val="4F81BD" w:themeColor="accent1"/>
    </w:rPr>
  </w:style>
  <w:style w:type="character" w:styleId="Hyperlink">
    <w:name w:val="Hyperlink"/>
    <w:uiPriority w:val="99"/>
    <w:rsid w:val="00EE4FE1"/>
    <w:rPr>
      <w:color w:val="0000FF"/>
      <w:u w:val="single"/>
    </w:rPr>
  </w:style>
  <w:style w:type="paragraph" w:styleId="NoSpacing">
    <w:name w:val="No Spacing"/>
    <w:uiPriority w:val="1"/>
    <w:qFormat/>
    <w:rsid w:val="00D0383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038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C40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1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1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1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2782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cp:lastPrinted>2013-03-13T18:17:55.9069462Z</cp:lastPrinted>
  <dcterms:created xsi:type="dcterms:W3CDTF">2013-03-13T18:17:55.9069462Z</dcterms:created>
  <dcterms:modified xsi:type="dcterms:W3CDTF">2013-03-13T18:17:55.9069462Z</dcterms:modified>
</cp:coreProperties>
</file>