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2636B3" w:rsidTr="002636B3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6B3" w:rsidRDefault="002636B3" w:rsidP="00BF5E24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6B3" w:rsidRDefault="002636B3" w:rsidP="00BF5E24">
            <w:pPr>
              <w:widowControl w:val="0"/>
              <w:spacing w:line="240" w:lineRule="auto"/>
            </w:pPr>
            <w:r>
              <w:t>Grade 7</w:t>
            </w:r>
            <w:bookmarkStart w:id="0" w:name="_GoBack"/>
            <w:bookmarkEnd w:id="0"/>
          </w:p>
        </w:tc>
      </w:tr>
      <w:tr w:rsidR="002636B3" w:rsidTr="002636B3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6B3" w:rsidRDefault="002636B3" w:rsidP="00BF5E2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6B3" w:rsidRDefault="002636B3" w:rsidP="00BF5E24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2636B3" w:rsidTr="002636B3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6B3" w:rsidRDefault="002636B3" w:rsidP="00BF5E2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6B3" w:rsidRDefault="002636B3" w:rsidP="00B759BA">
            <w:pPr>
              <w:widowControl w:val="0"/>
              <w:spacing w:line="240" w:lineRule="auto"/>
            </w:pPr>
            <w:r w:rsidRPr="00501345">
              <w:t>G.3</w:t>
            </w:r>
            <w:r w:rsidR="00B759BA">
              <w:rPr>
                <w:b/>
              </w:rPr>
              <w:t xml:space="preserve"> </w:t>
            </w:r>
            <w:r>
              <w:t>Students will recognize the characteristics of the processes that shape places and regions.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2636B3" w:rsidTr="002636B3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6B3" w:rsidRDefault="002636B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2636B3" w:rsidRDefault="00B759BA" w:rsidP="00BF5E24">
            <w:pPr>
              <w:widowControl w:val="0"/>
              <w:spacing w:line="240" w:lineRule="auto"/>
            </w:pPr>
            <w:r>
              <w:rPr>
                <w:b/>
              </w:rPr>
              <w:t>7. G.3.1</w:t>
            </w:r>
            <w:r w:rsidR="002636B3">
              <w:t xml:space="preserve"> </w:t>
            </w:r>
            <w:r w:rsidR="002636B3" w:rsidRPr="00501345">
              <w:rPr>
                <w:b/>
              </w:rPr>
              <w:t>Identify and differentiate between the human and/or physical characteristics that create a region.</w:t>
            </w:r>
          </w:p>
        </w:tc>
      </w:tr>
    </w:tbl>
    <w:p w:rsidR="00D713FF" w:rsidRDefault="00D713FF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713FF" w:rsidTr="002636B3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FF" w:rsidRDefault="002636B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713FF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FF" w:rsidRDefault="002636B3">
            <w:pPr>
              <w:widowControl w:val="0"/>
              <w:spacing w:line="240" w:lineRule="auto"/>
            </w:pPr>
            <w:r>
              <w:t>I can explain how a region can be identified by both human and physical elements.</w:t>
            </w:r>
          </w:p>
        </w:tc>
      </w:tr>
    </w:tbl>
    <w:p w:rsidR="00D713FF" w:rsidRDefault="00D713FF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713FF" w:rsidTr="002636B3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FF" w:rsidRDefault="002636B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713FF" w:rsidRDefault="002636B3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FF" w:rsidRDefault="002636B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713FF" w:rsidRDefault="002636B3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713FF" w:rsidRDefault="002636B3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FF" w:rsidRDefault="002636B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713FF" w:rsidRDefault="002636B3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713FF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FF" w:rsidRDefault="002636B3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Characteristics</w:t>
            </w:r>
          </w:p>
          <w:p w:rsidR="00D713FF" w:rsidRDefault="002636B3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Elements</w:t>
            </w:r>
          </w:p>
          <w:p w:rsidR="00D713FF" w:rsidRDefault="002636B3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Region</w:t>
            </w:r>
            <w:r>
              <w:tab/>
            </w:r>
            <w:r>
              <w:tab/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FF" w:rsidRDefault="002636B3">
            <w:pPr>
              <w:widowControl w:val="0"/>
              <w:spacing w:line="240" w:lineRule="auto"/>
            </w:pPr>
            <w:r>
              <w:t xml:space="preserve">An area is identified by how humans use it, and the physical formations of the area.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FF" w:rsidRDefault="002636B3">
            <w:pPr>
              <w:widowControl w:val="0"/>
              <w:spacing w:line="240" w:lineRule="auto"/>
            </w:pPr>
            <w:r>
              <w:t xml:space="preserve">Identify and differentiate the regional differences based on human and physical characteristics. </w:t>
            </w:r>
          </w:p>
        </w:tc>
      </w:tr>
    </w:tbl>
    <w:p w:rsidR="00D713FF" w:rsidRDefault="00D713FF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713FF" w:rsidTr="002636B3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FF" w:rsidRDefault="002636B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2636B3" w:rsidTr="002636B3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6B3" w:rsidRPr="002636B3" w:rsidRDefault="002636B3">
            <w:pPr>
              <w:widowControl w:val="0"/>
              <w:spacing w:line="240" w:lineRule="auto"/>
              <w:rPr>
                <w:u w:val="single"/>
              </w:rPr>
            </w:pPr>
            <w:r w:rsidRPr="002636B3">
              <w:rPr>
                <w:b/>
                <w:u w:val="single"/>
              </w:rPr>
              <w:t>Constructing Supporting Questions</w:t>
            </w:r>
          </w:p>
          <w:p w:rsidR="002636B3" w:rsidRPr="002636B3" w:rsidRDefault="002636B3">
            <w:pPr>
              <w:widowControl w:val="0"/>
              <w:spacing w:line="240" w:lineRule="auto"/>
            </w:pPr>
            <w:r w:rsidRPr="002636B3">
              <w:rPr>
                <w:b/>
              </w:rPr>
              <w:t>D1.4.6-8</w:t>
            </w:r>
            <w:r w:rsidRPr="002636B3">
              <w:t>. Explain how the relationship</w:t>
            </w:r>
            <w:r w:rsidR="00B759BA">
              <w:t xml:space="preserve"> </w:t>
            </w:r>
            <w:r w:rsidRPr="002636B3">
              <w:t>between supporting questions and compelling questions is mutually reinforcing.</w:t>
            </w:r>
          </w:p>
          <w:p w:rsidR="002636B3" w:rsidRPr="002636B3" w:rsidRDefault="002636B3" w:rsidP="002636B3">
            <w:pPr>
              <w:widowControl w:val="0"/>
              <w:spacing w:line="240" w:lineRule="auto"/>
              <w:rPr>
                <w:u w:val="single"/>
              </w:rPr>
            </w:pPr>
            <w:r w:rsidRPr="002636B3">
              <w:rPr>
                <w:b/>
                <w:u w:val="single"/>
              </w:rPr>
              <w:t>Communicating conclusions:</w:t>
            </w:r>
          </w:p>
          <w:p w:rsidR="002636B3" w:rsidRDefault="002636B3" w:rsidP="002636B3">
            <w:pPr>
              <w:widowControl w:val="0"/>
              <w:spacing w:line="240" w:lineRule="auto"/>
            </w:pPr>
            <w:r w:rsidRPr="002636B3">
              <w:rPr>
                <w:b/>
              </w:rPr>
              <w:t>D4.2.6-8</w:t>
            </w:r>
            <w:r w:rsidRPr="002636B3">
              <w:t>. Construct explanations using reasoning, correct sequence, examples, and details with relevant information and data, while acknowledging with strengths and weaknesses of the explanations.</w:t>
            </w:r>
          </w:p>
        </w:tc>
      </w:tr>
    </w:tbl>
    <w:p w:rsidR="00B759BA" w:rsidRDefault="00B759BA">
      <w:pPr>
        <w:sectPr w:rsidR="00B759BA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D713FF" w:rsidTr="002636B3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FF" w:rsidRDefault="002636B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D713FF" w:rsidTr="002636B3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FF" w:rsidRDefault="002636B3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FF" w:rsidRDefault="002636B3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D713FF" w:rsidTr="002636B3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713FF" w:rsidRDefault="00501345" w:rsidP="002636B3">
            <w:pPr>
              <w:widowControl w:val="0"/>
              <w:spacing w:line="240" w:lineRule="auto"/>
              <w:jc w:val="center"/>
            </w:pPr>
            <w:hyperlink r:id="rId9">
              <w:r w:rsidR="002636B3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FF" w:rsidRDefault="002636B3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Oceti Sakowin people’s cultural perceptions of land stewardship impacted their environment.</w:t>
            </w:r>
          </w:p>
          <w:p w:rsidR="00D713FF" w:rsidRDefault="002636B3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Big game came to an end, so the Oceti Sakowin people migrated to where the natural resources were in the eastern coastal woodlands area.</w:t>
            </w:r>
          </w:p>
        </w:tc>
      </w:tr>
      <w:tr w:rsidR="00D713FF" w:rsidTr="00501345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713FF" w:rsidRDefault="00501345" w:rsidP="00501345">
            <w:pPr>
              <w:widowControl w:val="0"/>
              <w:spacing w:line="240" w:lineRule="auto"/>
              <w:jc w:val="center"/>
            </w:pPr>
            <w:hyperlink r:id="rId10">
              <w:r w:rsidR="002636B3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FF" w:rsidRDefault="002636B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people can be identified by specific values, rights, philosophy, and beliefs.</w:t>
            </w:r>
          </w:p>
        </w:tc>
      </w:tr>
      <w:tr w:rsidR="00D713FF" w:rsidTr="00501345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713FF" w:rsidRDefault="00501345" w:rsidP="00501345">
            <w:pPr>
              <w:widowControl w:val="0"/>
              <w:spacing w:line="240" w:lineRule="auto"/>
              <w:jc w:val="center"/>
            </w:pPr>
            <w:hyperlink r:id="rId11">
              <w:r w:rsidR="002636B3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FF" w:rsidRDefault="002636B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Through oral traditions and written accounts, such as Brown Hat’s Winter Count, it is explained how the Oceti Sakowin people had bilateral kinship relationships.</w:t>
            </w:r>
          </w:p>
        </w:tc>
      </w:tr>
    </w:tbl>
    <w:p w:rsidR="00D713FF" w:rsidRDefault="00D713FF"/>
    <w:sectPr w:rsidR="00D713F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9BA" w:rsidRDefault="00B759BA" w:rsidP="00B759BA">
      <w:pPr>
        <w:spacing w:line="240" w:lineRule="auto"/>
      </w:pPr>
      <w:r>
        <w:separator/>
      </w:r>
    </w:p>
  </w:endnote>
  <w:endnote w:type="continuationSeparator" w:id="0">
    <w:p w:rsidR="00B759BA" w:rsidRDefault="00B759BA" w:rsidP="00B75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9BA" w:rsidRDefault="00B759BA" w:rsidP="00B759BA">
      <w:pPr>
        <w:spacing w:line="240" w:lineRule="auto"/>
      </w:pPr>
      <w:r>
        <w:separator/>
      </w:r>
    </w:p>
  </w:footnote>
  <w:footnote w:type="continuationSeparator" w:id="0">
    <w:p w:rsidR="00B759BA" w:rsidRDefault="00B759BA" w:rsidP="00B759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9BA" w:rsidRDefault="00B759BA" w:rsidP="00B759BA">
    <w:pPr>
      <w:jc w:val="center"/>
    </w:pPr>
    <w:r>
      <w:rPr>
        <w:b/>
        <w:sz w:val="24"/>
        <w:szCs w:val="24"/>
      </w:rPr>
      <w:t>SD Social Studies State Standards Disaggregated Template</w:t>
    </w:r>
  </w:p>
  <w:p w:rsidR="00B759BA" w:rsidRDefault="00B759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59C2"/>
    <w:multiLevelType w:val="multilevel"/>
    <w:tmpl w:val="4CC44F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4176C06"/>
    <w:multiLevelType w:val="multilevel"/>
    <w:tmpl w:val="FA52A2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DF57065"/>
    <w:multiLevelType w:val="multilevel"/>
    <w:tmpl w:val="3D1A5B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71A776D"/>
    <w:multiLevelType w:val="multilevel"/>
    <w:tmpl w:val="C116FA5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13FF"/>
    <w:rsid w:val="002636B3"/>
    <w:rsid w:val="00501345"/>
    <w:rsid w:val="00B759BA"/>
    <w:rsid w:val="00D7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759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9BA"/>
  </w:style>
  <w:style w:type="paragraph" w:styleId="Footer">
    <w:name w:val="footer"/>
    <w:basedOn w:val="Normal"/>
    <w:link w:val="FooterChar"/>
    <w:uiPriority w:val="99"/>
    <w:unhideWhenUsed/>
    <w:rsid w:val="00B759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759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9BA"/>
  </w:style>
  <w:style w:type="paragraph" w:styleId="Footer">
    <w:name w:val="footer"/>
    <w:basedOn w:val="Normal"/>
    <w:link w:val="FooterChar"/>
    <w:uiPriority w:val="99"/>
    <w:unhideWhenUsed/>
    <w:rsid w:val="00B759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lakotaproject.org/oseu-fiv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tw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1716</Characters>
  <Application>Microsoft Office Word</Application>
  <DocSecurity>0</DocSecurity>
  <Lines>14</Lines>
  <Paragraphs>4</Paragraphs>
  <ScaleCrop>false</ScaleCrop>
  <Company>State of South Dakota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2015-09-23T20:59:00Z</dcterms:created>
  <dcterms:modified xsi:type="dcterms:W3CDTF">2015-10-05T19:53:00Z</dcterms:modified>
</cp:coreProperties>
</file>