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A9133A" w:rsidTr="00A9133A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2E489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2E489C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A9133A" w:rsidTr="00A9133A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2E489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2E489C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9133A" w:rsidTr="00A9133A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2E489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 w:rsidP="00A9133A">
            <w:pPr>
              <w:widowControl w:val="0"/>
              <w:spacing w:line="240" w:lineRule="auto"/>
            </w:pPr>
            <w:r w:rsidRPr="00822C8D">
              <w:t>H.2</w:t>
            </w:r>
            <w:r>
              <w:rPr>
                <w:b/>
              </w:rPr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A9133A" w:rsidTr="00A9133A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A9133A" w:rsidRDefault="00A9133A" w:rsidP="00A9133A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8.H.2.5</w:t>
            </w:r>
            <w:proofErr w:type="gramEnd"/>
            <w:r>
              <w:t xml:space="preserve"> </w:t>
            </w:r>
            <w:r w:rsidR="00822C8D">
              <w:t xml:space="preserve"> </w:t>
            </w:r>
            <w:r w:rsidRPr="00822C8D">
              <w:rPr>
                <w:b/>
              </w:rPr>
              <w:t>Investigate ways the Civil War changed the United States government.</w:t>
            </w:r>
          </w:p>
        </w:tc>
      </w:tr>
    </w:tbl>
    <w:p w:rsidR="00292D67" w:rsidRDefault="00292D6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92D67" w:rsidTr="00A9133A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92D6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</w:pPr>
            <w:r>
              <w:t>I can explore ways the Civil War changed the United States government.</w:t>
            </w:r>
          </w:p>
        </w:tc>
      </w:tr>
    </w:tbl>
    <w:p w:rsidR="00292D67" w:rsidRDefault="00292D6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92D67" w:rsidTr="00A9133A">
        <w:trPr>
          <w:trHeight w:val="1041"/>
        </w:trPr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92D67" w:rsidRDefault="00A9133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92D67" w:rsidRDefault="00A9133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92D67" w:rsidRDefault="00A9133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92D67" w:rsidRDefault="00A9133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92D6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13th Amendment</w:t>
            </w:r>
          </w:p>
          <w:p w:rsidR="00292D67" w:rsidRDefault="00A9133A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14th Amendment</w:t>
            </w:r>
          </w:p>
          <w:p w:rsidR="00292D67" w:rsidRDefault="00A9133A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15th Amendment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</w:pPr>
            <w:r>
              <w:t>The North wins the war which resulted i</w:t>
            </w:r>
            <w:r>
              <w:rPr>
                <w:highlight w:val="white"/>
              </w:rPr>
              <w:t xml:space="preserve">n the federal government growing more powerful.  </w:t>
            </w:r>
          </w:p>
          <w:p w:rsidR="00292D67" w:rsidRDefault="00292D67">
            <w:pPr>
              <w:widowControl w:val="0"/>
              <w:spacing w:line="240" w:lineRule="auto"/>
            </w:pPr>
          </w:p>
          <w:p w:rsidR="00292D67" w:rsidRDefault="00A9133A">
            <w:pPr>
              <w:widowControl w:val="0"/>
              <w:spacing w:line="240" w:lineRule="auto"/>
            </w:pPr>
            <w:r>
              <w:t>The Constitution was amended to abolish slavery, make former slaves U.S. citizens, and give African American men voting rights.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</w:pPr>
            <w:r>
              <w:t>Describe which civil rights are now guaranteed for all Americans as a result of the Civil War.</w:t>
            </w:r>
          </w:p>
          <w:p w:rsidR="00292D67" w:rsidRDefault="00292D67">
            <w:pPr>
              <w:widowControl w:val="0"/>
              <w:spacing w:line="240" w:lineRule="auto"/>
            </w:pPr>
          </w:p>
          <w:p w:rsidR="00292D67" w:rsidRDefault="00A9133A">
            <w:pPr>
              <w:widowControl w:val="0"/>
              <w:spacing w:line="240" w:lineRule="auto"/>
            </w:pPr>
            <w:r>
              <w:t xml:space="preserve">Analyze how the federal government grew more powerful once the North won the Civil War.  </w:t>
            </w:r>
          </w:p>
        </w:tc>
      </w:tr>
    </w:tbl>
    <w:p w:rsidR="00292D67" w:rsidRDefault="00292D6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92D67" w:rsidTr="00A9133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9133A" w:rsidTr="00A9133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3A" w:rsidRPr="00232309" w:rsidRDefault="00A9133A">
            <w:pPr>
              <w:widowControl w:val="0"/>
              <w:spacing w:line="240" w:lineRule="auto"/>
              <w:rPr>
                <w:u w:val="single"/>
              </w:rPr>
            </w:pPr>
            <w:r w:rsidRPr="00232309">
              <w:rPr>
                <w:b/>
                <w:u w:val="single"/>
              </w:rPr>
              <w:t>Evaluating sources and using evidence:</w:t>
            </w:r>
          </w:p>
          <w:p w:rsidR="00A9133A" w:rsidRPr="00A9133A" w:rsidRDefault="00A9133A">
            <w:pPr>
              <w:widowControl w:val="0"/>
              <w:spacing w:line="240" w:lineRule="auto"/>
            </w:pPr>
            <w:r w:rsidRPr="00A9133A">
              <w:rPr>
                <w:b/>
              </w:rPr>
              <w:t>D3.1.6-8</w:t>
            </w:r>
            <w:r w:rsidRPr="00A9133A">
              <w:t>. Gather relevant information from multiple sources while using the origin, authority, structure, context, and collaborative value of sources to guide the selection.</w:t>
            </w:r>
          </w:p>
          <w:p w:rsidR="00A9133A" w:rsidRPr="00232309" w:rsidRDefault="00A9133A">
            <w:pPr>
              <w:widowControl w:val="0"/>
              <w:spacing w:line="240" w:lineRule="auto"/>
              <w:rPr>
                <w:u w:val="single"/>
              </w:rPr>
            </w:pPr>
            <w:r w:rsidRPr="00232309">
              <w:rPr>
                <w:b/>
                <w:u w:val="single"/>
              </w:rPr>
              <w:t>Developing Claims and Using Evidence:</w:t>
            </w:r>
          </w:p>
          <w:p w:rsidR="00A9133A" w:rsidRDefault="00A9133A" w:rsidP="00A9133A">
            <w:pPr>
              <w:widowControl w:val="0"/>
              <w:spacing w:line="240" w:lineRule="auto"/>
            </w:pPr>
            <w:r w:rsidRPr="00A9133A">
              <w:rPr>
                <w:b/>
              </w:rPr>
              <w:t>D3.3.6-8</w:t>
            </w:r>
            <w:r w:rsidRPr="00A9133A">
              <w:t>. Identify evidence that draws information from multiple sources to support claims, noting evidentiary limitations.</w:t>
            </w:r>
          </w:p>
        </w:tc>
      </w:tr>
    </w:tbl>
    <w:p w:rsidR="00822C8D" w:rsidRDefault="00822C8D">
      <w:pPr>
        <w:widowControl w:val="0"/>
        <w:spacing w:line="240" w:lineRule="auto"/>
        <w:jc w:val="center"/>
        <w:rPr>
          <w:b/>
        </w:rPr>
        <w:sectPr w:rsidR="00822C8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292D67" w:rsidTr="00A9133A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292D67" w:rsidTr="00A9133A">
        <w:trPr>
          <w:trHeight w:val="591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2D67" w:rsidRDefault="00A9133A" w:rsidP="00A9133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92D67" w:rsidTr="00A9133A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2D67" w:rsidRDefault="00822C8D" w:rsidP="00A9133A">
            <w:pPr>
              <w:widowControl w:val="0"/>
              <w:spacing w:line="240" w:lineRule="auto"/>
              <w:jc w:val="center"/>
            </w:pPr>
            <w:hyperlink r:id="rId9">
              <w:r w:rsidR="00A9133A">
                <w:rPr>
                  <w:color w:val="1155CC"/>
                  <w:u w:val="single"/>
                </w:rPr>
                <w:t>OSEU 5</w:t>
              </w:r>
            </w:hyperlink>
            <w:r w:rsidR="00A9133A">
              <w:t xml:space="preserve"> and </w:t>
            </w:r>
            <w:hyperlink r:id="rId10">
              <w:r w:rsidR="00A9133A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D67" w:rsidRDefault="00A9133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end of the Civil War changed the federal government’s perspective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.  The US Army was re-energized with financial resources and man-power to fight a new war out West. </w:t>
            </w:r>
          </w:p>
        </w:tc>
      </w:tr>
    </w:tbl>
    <w:p w:rsidR="00292D67" w:rsidRDefault="00292D67"/>
    <w:sectPr w:rsidR="00292D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CD" w:rsidRDefault="009720CD" w:rsidP="009720CD">
      <w:pPr>
        <w:spacing w:line="240" w:lineRule="auto"/>
      </w:pPr>
      <w:r>
        <w:separator/>
      </w:r>
    </w:p>
  </w:endnote>
  <w:endnote w:type="continuationSeparator" w:id="0">
    <w:p w:rsidR="009720CD" w:rsidRDefault="009720CD" w:rsidP="00972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CD" w:rsidRDefault="009720CD" w:rsidP="009720CD">
      <w:pPr>
        <w:spacing w:line="240" w:lineRule="auto"/>
      </w:pPr>
      <w:r>
        <w:separator/>
      </w:r>
    </w:p>
  </w:footnote>
  <w:footnote w:type="continuationSeparator" w:id="0">
    <w:p w:rsidR="009720CD" w:rsidRDefault="009720CD" w:rsidP="00972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CD" w:rsidRDefault="009720CD" w:rsidP="009720C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720CD" w:rsidRDefault="009720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68A5"/>
    <w:multiLevelType w:val="multilevel"/>
    <w:tmpl w:val="B12A08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7435C07"/>
    <w:multiLevelType w:val="multilevel"/>
    <w:tmpl w:val="738410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2D67"/>
    <w:rsid w:val="00232309"/>
    <w:rsid w:val="00292D67"/>
    <w:rsid w:val="00822C8D"/>
    <w:rsid w:val="009720CD"/>
    <w:rsid w:val="00A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720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CD"/>
  </w:style>
  <w:style w:type="paragraph" w:styleId="Footer">
    <w:name w:val="footer"/>
    <w:basedOn w:val="Normal"/>
    <w:link w:val="FooterChar"/>
    <w:uiPriority w:val="99"/>
    <w:unhideWhenUsed/>
    <w:rsid w:val="009720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720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CD"/>
  </w:style>
  <w:style w:type="paragraph" w:styleId="Footer">
    <w:name w:val="footer"/>
    <w:basedOn w:val="Normal"/>
    <w:link w:val="FooterChar"/>
    <w:uiPriority w:val="99"/>
    <w:unhideWhenUsed/>
    <w:rsid w:val="009720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1555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2015-09-24T16:11:00Z</dcterms:created>
  <dcterms:modified xsi:type="dcterms:W3CDTF">2015-10-05T18:19:00Z</dcterms:modified>
</cp:coreProperties>
</file>