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015E23" w:rsidTr="00015E23">
        <w:tc>
          <w:tcPr>
            <w:tcW w:w="1630" w:type="dxa"/>
            <w:shd w:val="clear" w:color="auto" w:fill="FFC000"/>
            <w:tcMar>
              <w:top w:w="100" w:type="dxa"/>
              <w:left w:w="100" w:type="dxa"/>
              <w:bottom w:w="100" w:type="dxa"/>
              <w:right w:w="100" w:type="dxa"/>
            </w:tcMar>
          </w:tcPr>
          <w:p w:rsidR="00015E23" w:rsidRDefault="00015E23" w:rsidP="005B0351">
            <w:pPr>
              <w:widowControl w:val="0"/>
              <w:spacing w:line="240" w:lineRule="auto"/>
            </w:pPr>
            <w:r>
              <w:rPr>
                <w:b/>
              </w:rPr>
              <w:t>Grade Level:</w:t>
            </w:r>
          </w:p>
        </w:tc>
        <w:tc>
          <w:tcPr>
            <w:tcW w:w="7740" w:type="dxa"/>
            <w:tcMar>
              <w:top w:w="100" w:type="dxa"/>
              <w:left w:w="100" w:type="dxa"/>
              <w:bottom w:w="100" w:type="dxa"/>
              <w:right w:w="100" w:type="dxa"/>
            </w:tcMar>
          </w:tcPr>
          <w:p w:rsidR="00015E23" w:rsidRDefault="00015E23" w:rsidP="005B0351">
            <w:pPr>
              <w:widowControl w:val="0"/>
              <w:spacing w:line="240" w:lineRule="auto"/>
            </w:pPr>
            <w:r>
              <w:t xml:space="preserve"> 8</w:t>
            </w:r>
          </w:p>
        </w:tc>
      </w:tr>
      <w:tr w:rsidR="00015E23" w:rsidTr="00015E23">
        <w:tc>
          <w:tcPr>
            <w:tcW w:w="1630" w:type="dxa"/>
            <w:shd w:val="clear" w:color="auto" w:fill="FFC000"/>
            <w:tcMar>
              <w:top w:w="100" w:type="dxa"/>
              <w:left w:w="100" w:type="dxa"/>
              <w:bottom w:w="100" w:type="dxa"/>
              <w:right w:w="100" w:type="dxa"/>
            </w:tcMar>
          </w:tcPr>
          <w:p w:rsidR="00015E23" w:rsidRDefault="00015E23" w:rsidP="005B0351">
            <w:pPr>
              <w:widowControl w:val="0"/>
              <w:spacing w:line="240" w:lineRule="auto"/>
            </w:pPr>
            <w:r>
              <w:rPr>
                <w:b/>
              </w:rPr>
              <w:t>Subject:</w:t>
            </w:r>
          </w:p>
        </w:tc>
        <w:tc>
          <w:tcPr>
            <w:tcW w:w="7740" w:type="dxa"/>
            <w:tcMar>
              <w:top w:w="100" w:type="dxa"/>
              <w:left w:w="100" w:type="dxa"/>
              <w:bottom w:w="100" w:type="dxa"/>
              <w:right w:w="100" w:type="dxa"/>
            </w:tcMar>
          </w:tcPr>
          <w:p w:rsidR="00015E23" w:rsidRDefault="00015E23" w:rsidP="005B0351">
            <w:pPr>
              <w:widowControl w:val="0"/>
              <w:spacing w:line="240" w:lineRule="auto"/>
            </w:pPr>
            <w:r>
              <w:t>History</w:t>
            </w:r>
          </w:p>
        </w:tc>
      </w:tr>
      <w:tr w:rsidR="00015E23" w:rsidTr="00015E23">
        <w:tc>
          <w:tcPr>
            <w:tcW w:w="1630" w:type="dxa"/>
            <w:shd w:val="clear" w:color="auto" w:fill="FFC000"/>
            <w:tcMar>
              <w:top w:w="100" w:type="dxa"/>
              <w:left w:w="100" w:type="dxa"/>
              <w:bottom w:w="100" w:type="dxa"/>
              <w:right w:w="100" w:type="dxa"/>
            </w:tcMar>
          </w:tcPr>
          <w:p w:rsidR="00015E23" w:rsidRDefault="00015E23" w:rsidP="005B0351">
            <w:pPr>
              <w:widowControl w:val="0"/>
              <w:spacing w:line="240" w:lineRule="auto"/>
            </w:pPr>
            <w:r>
              <w:rPr>
                <w:b/>
              </w:rPr>
              <w:t>K-12 Anchor Standard:</w:t>
            </w:r>
          </w:p>
        </w:tc>
        <w:tc>
          <w:tcPr>
            <w:tcW w:w="7740" w:type="dxa"/>
            <w:tcMar>
              <w:top w:w="100" w:type="dxa"/>
              <w:left w:w="100" w:type="dxa"/>
              <w:bottom w:w="100" w:type="dxa"/>
              <w:right w:w="100" w:type="dxa"/>
            </w:tcMar>
          </w:tcPr>
          <w:p w:rsidR="00015E23" w:rsidRDefault="00015E23" w:rsidP="00015E23">
            <w:pPr>
              <w:widowControl w:val="0"/>
              <w:spacing w:line="240" w:lineRule="auto"/>
            </w:pPr>
            <w:r w:rsidRPr="00DF25C4">
              <w:t>H.5</w:t>
            </w:r>
            <w:r>
              <w:rPr>
                <w:b/>
              </w:rPr>
              <w:t xml:space="preserve"> </w:t>
            </w:r>
            <w:r>
              <w:t>Students will identify and evaluate the causes and effects of past, current and potential events, issues and problems.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015E23" w:rsidTr="00015E23">
        <w:tc>
          <w:tcPr>
            <w:tcW w:w="1630" w:type="dxa"/>
            <w:shd w:val="clear" w:color="auto" w:fill="FFC000"/>
            <w:tcMar>
              <w:top w:w="100" w:type="dxa"/>
              <w:left w:w="100" w:type="dxa"/>
              <w:bottom w:w="100" w:type="dxa"/>
              <w:right w:w="100" w:type="dxa"/>
            </w:tcMar>
          </w:tcPr>
          <w:p w:rsidR="00015E23" w:rsidRDefault="00015E23">
            <w:pPr>
              <w:widowControl w:val="0"/>
              <w:spacing w:line="240" w:lineRule="auto"/>
              <w:jc w:val="center"/>
            </w:pPr>
            <w:r>
              <w:rPr>
                <w:b/>
              </w:rPr>
              <w:t>Grade-Level Standards:</w:t>
            </w:r>
          </w:p>
        </w:tc>
        <w:tc>
          <w:tcPr>
            <w:tcW w:w="7730" w:type="dxa"/>
            <w:shd w:val="clear" w:color="auto" w:fill="auto"/>
            <w:vAlign w:val="center"/>
          </w:tcPr>
          <w:p w:rsidR="00015E23" w:rsidRDefault="00015E23" w:rsidP="00015E23">
            <w:pPr>
              <w:widowControl w:val="0"/>
              <w:spacing w:line="240" w:lineRule="auto"/>
            </w:pPr>
            <w:proofErr w:type="gramStart"/>
            <w:r>
              <w:rPr>
                <w:b/>
              </w:rPr>
              <w:t>8.H.5.3</w:t>
            </w:r>
            <w:proofErr w:type="gramEnd"/>
            <w:r>
              <w:t xml:space="preserve"> </w:t>
            </w:r>
            <w:r w:rsidRPr="00DF25C4">
              <w:rPr>
                <w:b/>
              </w:rPr>
              <w:t>Critique significant political primary sources and their impact on events of this time period.</w:t>
            </w:r>
          </w:p>
        </w:tc>
      </w:tr>
    </w:tbl>
    <w:p w:rsidR="00C41A67" w:rsidRDefault="00C41A67"/>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41A67" w:rsidTr="00015E23">
        <w:tc>
          <w:tcPr>
            <w:tcW w:w="9360" w:type="dxa"/>
            <w:shd w:val="clear" w:color="auto" w:fill="FFC000"/>
            <w:tcMar>
              <w:top w:w="100" w:type="dxa"/>
              <w:left w:w="100" w:type="dxa"/>
              <w:bottom w:w="100" w:type="dxa"/>
              <w:right w:w="100" w:type="dxa"/>
            </w:tcMar>
          </w:tcPr>
          <w:p w:rsidR="00C41A67" w:rsidRDefault="00015E23">
            <w:pPr>
              <w:widowControl w:val="0"/>
              <w:spacing w:line="240" w:lineRule="auto"/>
              <w:jc w:val="center"/>
            </w:pPr>
            <w:r>
              <w:rPr>
                <w:b/>
              </w:rPr>
              <w:t>Student Friendly Language:</w:t>
            </w:r>
          </w:p>
        </w:tc>
      </w:tr>
      <w:tr w:rsidR="00C41A67">
        <w:tc>
          <w:tcPr>
            <w:tcW w:w="9360" w:type="dxa"/>
            <w:tcMar>
              <w:top w:w="100" w:type="dxa"/>
              <w:left w:w="100" w:type="dxa"/>
              <w:bottom w:w="100" w:type="dxa"/>
              <w:right w:w="100" w:type="dxa"/>
            </w:tcMar>
          </w:tcPr>
          <w:p w:rsidR="00C41A67" w:rsidRDefault="00015E23">
            <w:pPr>
              <w:widowControl w:val="0"/>
              <w:spacing w:line="240" w:lineRule="auto"/>
            </w:pPr>
            <w:r>
              <w:t>I can recognize important political documents and describe how they might affect the time period during which they were written.</w:t>
            </w:r>
          </w:p>
        </w:tc>
      </w:tr>
    </w:tbl>
    <w:p w:rsidR="00C41A67" w:rsidRDefault="00C41A67"/>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C41A67" w:rsidTr="00015E23">
        <w:tc>
          <w:tcPr>
            <w:tcW w:w="3120" w:type="dxa"/>
            <w:shd w:val="clear" w:color="auto" w:fill="FFC000"/>
            <w:tcMar>
              <w:top w:w="100" w:type="dxa"/>
              <w:left w:w="100" w:type="dxa"/>
              <w:bottom w:w="100" w:type="dxa"/>
              <w:right w:w="100" w:type="dxa"/>
            </w:tcMar>
          </w:tcPr>
          <w:p w:rsidR="00C41A67" w:rsidRDefault="00015E23">
            <w:pPr>
              <w:widowControl w:val="0"/>
              <w:spacing w:line="240" w:lineRule="auto"/>
              <w:jc w:val="center"/>
            </w:pPr>
            <w:r>
              <w:rPr>
                <w:b/>
              </w:rPr>
              <w:t>Know</w:t>
            </w:r>
          </w:p>
          <w:p w:rsidR="00C41A67" w:rsidRDefault="00015E23">
            <w:pPr>
              <w:widowControl w:val="0"/>
              <w:spacing w:line="240" w:lineRule="auto"/>
              <w:jc w:val="center"/>
            </w:pPr>
            <w:r>
              <w:t>(Factual)</w:t>
            </w:r>
          </w:p>
        </w:tc>
        <w:tc>
          <w:tcPr>
            <w:tcW w:w="3120" w:type="dxa"/>
            <w:shd w:val="clear" w:color="auto" w:fill="FFC000"/>
            <w:tcMar>
              <w:top w:w="100" w:type="dxa"/>
              <w:left w:w="100" w:type="dxa"/>
              <w:bottom w:w="100" w:type="dxa"/>
              <w:right w:w="100" w:type="dxa"/>
            </w:tcMar>
          </w:tcPr>
          <w:p w:rsidR="00C41A67" w:rsidRDefault="00015E23">
            <w:pPr>
              <w:widowControl w:val="0"/>
              <w:spacing w:line="240" w:lineRule="auto"/>
              <w:jc w:val="center"/>
            </w:pPr>
            <w:r>
              <w:rPr>
                <w:b/>
              </w:rPr>
              <w:t>Understand</w:t>
            </w:r>
          </w:p>
          <w:p w:rsidR="00C41A67" w:rsidRDefault="00015E23">
            <w:pPr>
              <w:widowControl w:val="0"/>
              <w:spacing w:line="240" w:lineRule="auto"/>
              <w:jc w:val="center"/>
            </w:pPr>
            <w:r>
              <w:t>(Conceptual)</w:t>
            </w:r>
          </w:p>
          <w:p w:rsidR="00C41A67" w:rsidRDefault="00015E23">
            <w:pPr>
              <w:widowControl w:val="0"/>
              <w:spacing w:line="240" w:lineRule="auto"/>
              <w:jc w:val="center"/>
            </w:pPr>
            <w:r>
              <w:t>The students will understand that:</w:t>
            </w:r>
          </w:p>
        </w:tc>
        <w:tc>
          <w:tcPr>
            <w:tcW w:w="3120" w:type="dxa"/>
            <w:shd w:val="clear" w:color="auto" w:fill="FFC000"/>
            <w:tcMar>
              <w:top w:w="100" w:type="dxa"/>
              <w:left w:w="100" w:type="dxa"/>
              <w:bottom w:w="100" w:type="dxa"/>
              <w:right w:w="100" w:type="dxa"/>
            </w:tcMar>
          </w:tcPr>
          <w:p w:rsidR="00C41A67" w:rsidRDefault="00015E23">
            <w:pPr>
              <w:widowControl w:val="0"/>
              <w:spacing w:line="240" w:lineRule="auto"/>
              <w:jc w:val="center"/>
            </w:pPr>
            <w:r>
              <w:rPr>
                <w:b/>
              </w:rPr>
              <w:t>Do</w:t>
            </w:r>
          </w:p>
          <w:p w:rsidR="00C41A67" w:rsidRDefault="00015E23">
            <w:pPr>
              <w:widowControl w:val="0"/>
              <w:spacing w:line="240" w:lineRule="auto"/>
              <w:jc w:val="center"/>
            </w:pPr>
            <w:r>
              <w:t>(Procedural, Application, Extended Thinking)</w:t>
            </w:r>
          </w:p>
        </w:tc>
      </w:tr>
      <w:tr w:rsidR="00C41A67">
        <w:tc>
          <w:tcPr>
            <w:tcW w:w="3120" w:type="dxa"/>
            <w:tcMar>
              <w:top w:w="100" w:type="dxa"/>
              <w:left w:w="100" w:type="dxa"/>
              <w:bottom w:w="100" w:type="dxa"/>
              <w:right w:w="100" w:type="dxa"/>
            </w:tcMar>
          </w:tcPr>
          <w:p w:rsidR="00C41A67" w:rsidRDefault="00015E23">
            <w:pPr>
              <w:widowControl w:val="0"/>
              <w:numPr>
                <w:ilvl w:val="0"/>
                <w:numId w:val="2"/>
              </w:numPr>
              <w:spacing w:line="240" w:lineRule="auto"/>
              <w:ind w:hanging="360"/>
              <w:contextualSpacing/>
            </w:pPr>
            <w:r>
              <w:t>primary source</w:t>
            </w:r>
          </w:p>
          <w:p w:rsidR="00C41A67" w:rsidRDefault="00015E23">
            <w:pPr>
              <w:widowControl w:val="0"/>
              <w:numPr>
                <w:ilvl w:val="0"/>
                <w:numId w:val="2"/>
              </w:numPr>
              <w:spacing w:line="240" w:lineRule="auto"/>
              <w:ind w:hanging="360"/>
              <w:contextualSpacing/>
            </w:pPr>
            <w:proofErr w:type="gramStart"/>
            <w:r>
              <w:t>historically</w:t>
            </w:r>
            <w:proofErr w:type="gramEnd"/>
            <w:r>
              <w:t xml:space="preserve"> significant primary sources.</w:t>
            </w:r>
          </w:p>
          <w:p w:rsidR="00C41A67" w:rsidRDefault="00015E23">
            <w:pPr>
              <w:widowControl w:val="0"/>
              <w:numPr>
                <w:ilvl w:val="0"/>
                <w:numId w:val="2"/>
              </w:numPr>
              <w:spacing w:line="240" w:lineRule="auto"/>
              <w:ind w:hanging="360"/>
              <w:contextualSpacing/>
            </w:pPr>
            <w:r>
              <w:t>credible sources</w:t>
            </w:r>
          </w:p>
          <w:p w:rsidR="00C41A67" w:rsidRDefault="00C41A67">
            <w:pPr>
              <w:widowControl w:val="0"/>
              <w:spacing w:line="240" w:lineRule="auto"/>
            </w:pPr>
          </w:p>
          <w:p w:rsidR="00C41A67" w:rsidRDefault="00C41A67">
            <w:pPr>
              <w:widowControl w:val="0"/>
              <w:spacing w:line="240" w:lineRule="auto"/>
            </w:pPr>
          </w:p>
        </w:tc>
        <w:tc>
          <w:tcPr>
            <w:tcW w:w="3120" w:type="dxa"/>
            <w:tcMar>
              <w:top w:w="100" w:type="dxa"/>
              <w:left w:w="100" w:type="dxa"/>
              <w:bottom w:w="100" w:type="dxa"/>
              <w:right w:w="100" w:type="dxa"/>
            </w:tcMar>
          </w:tcPr>
          <w:p w:rsidR="00C41A67" w:rsidRDefault="00015E23">
            <w:pPr>
              <w:widowControl w:val="0"/>
              <w:spacing w:line="240" w:lineRule="auto"/>
            </w:pPr>
            <w:r>
              <w:t>Primary sources are artifacts/original documents of the current time period.</w:t>
            </w:r>
          </w:p>
          <w:p w:rsidR="00C41A67" w:rsidRDefault="00C41A67">
            <w:pPr>
              <w:widowControl w:val="0"/>
              <w:spacing w:line="240" w:lineRule="auto"/>
            </w:pPr>
          </w:p>
          <w:p w:rsidR="00C41A67" w:rsidRDefault="00015E23">
            <w:pPr>
              <w:widowControl w:val="0"/>
              <w:spacing w:line="240" w:lineRule="auto"/>
            </w:pPr>
            <w:r>
              <w:t>Primary sources were often created out of political/social motivation.</w:t>
            </w:r>
          </w:p>
          <w:p w:rsidR="00C41A67" w:rsidRDefault="00C41A67">
            <w:pPr>
              <w:widowControl w:val="0"/>
              <w:spacing w:line="240" w:lineRule="auto"/>
            </w:pPr>
          </w:p>
          <w:p w:rsidR="00C41A67" w:rsidRDefault="00015E23">
            <w:pPr>
              <w:widowControl w:val="0"/>
              <w:spacing w:line="240" w:lineRule="auto"/>
            </w:pPr>
            <w:r>
              <w:t>Primary sources had an impact on society in history.</w:t>
            </w:r>
          </w:p>
        </w:tc>
        <w:tc>
          <w:tcPr>
            <w:tcW w:w="3120" w:type="dxa"/>
            <w:tcMar>
              <w:top w:w="100" w:type="dxa"/>
              <w:left w:w="100" w:type="dxa"/>
              <w:bottom w:w="100" w:type="dxa"/>
              <w:right w:w="100" w:type="dxa"/>
            </w:tcMar>
          </w:tcPr>
          <w:p w:rsidR="00C41A67" w:rsidRDefault="00015E23">
            <w:pPr>
              <w:widowControl w:val="0"/>
              <w:spacing w:line="240" w:lineRule="auto"/>
            </w:pPr>
            <w:r>
              <w:t>Analyze political primary sources and determine when and why it was written.</w:t>
            </w:r>
          </w:p>
          <w:p w:rsidR="00C41A67" w:rsidRDefault="00C41A67">
            <w:pPr>
              <w:widowControl w:val="0"/>
              <w:spacing w:line="240" w:lineRule="auto"/>
            </w:pPr>
          </w:p>
          <w:p w:rsidR="00C41A67" w:rsidRDefault="00015E23">
            <w:pPr>
              <w:widowControl w:val="0"/>
              <w:spacing w:line="240" w:lineRule="auto"/>
            </w:pPr>
            <w:r>
              <w:t>Analyze political primary sources and determine the influence it had on society.</w:t>
            </w:r>
          </w:p>
        </w:tc>
      </w:tr>
    </w:tbl>
    <w:p w:rsidR="00DF25C4" w:rsidRDefault="00DF25C4">
      <w:pPr>
        <w:widowControl w:val="0"/>
        <w:spacing w:line="240" w:lineRule="auto"/>
        <w:jc w:val="center"/>
        <w:rPr>
          <w:b/>
        </w:rPr>
        <w:sectPr w:rsidR="00DF25C4">
          <w:headerReference w:type="default" r:id="rId9"/>
          <w:pgSz w:w="12240" w:h="15840"/>
          <w:pgMar w:top="1440" w:right="1440" w:bottom="1440" w:left="1440" w:header="720" w:footer="720" w:gutter="0"/>
          <w:pgNumType w:start="1"/>
          <w:cols w:space="720"/>
        </w:sect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80"/>
        <w:gridCol w:w="80"/>
      </w:tblGrid>
      <w:tr w:rsidR="00C41A67" w:rsidTr="00015E23">
        <w:trPr>
          <w:trHeight w:val="420"/>
        </w:trPr>
        <w:tc>
          <w:tcPr>
            <w:tcW w:w="9360" w:type="dxa"/>
            <w:gridSpan w:val="2"/>
            <w:shd w:val="clear" w:color="auto" w:fill="FFC000"/>
            <w:tcMar>
              <w:top w:w="100" w:type="dxa"/>
              <w:left w:w="100" w:type="dxa"/>
              <w:bottom w:w="100" w:type="dxa"/>
              <w:right w:w="100" w:type="dxa"/>
            </w:tcMar>
          </w:tcPr>
          <w:p w:rsidR="00C41A67" w:rsidRDefault="00015E23">
            <w:pPr>
              <w:widowControl w:val="0"/>
              <w:spacing w:line="240" w:lineRule="auto"/>
              <w:jc w:val="center"/>
            </w:pPr>
            <w:bookmarkStart w:id="0" w:name="_GoBack"/>
            <w:bookmarkEnd w:id="0"/>
            <w:r>
              <w:rPr>
                <w:b/>
              </w:rPr>
              <w:lastRenderedPageBreak/>
              <w:t>C3 Framework Relevant Skills and Applications:</w:t>
            </w:r>
          </w:p>
        </w:tc>
      </w:tr>
      <w:tr w:rsidR="00015E23" w:rsidTr="00015E23">
        <w:trPr>
          <w:gridAfter w:val="1"/>
          <w:wAfter w:w="80" w:type="dxa"/>
        </w:trPr>
        <w:tc>
          <w:tcPr>
            <w:tcW w:w="9280" w:type="dxa"/>
            <w:tcMar>
              <w:top w:w="100" w:type="dxa"/>
              <w:left w:w="100" w:type="dxa"/>
              <w:bottom w:w="100" w:type="dxa"/>
              <w:right w:w="100" w:type="dxa"/>
            </w:tcMar>
          </w:tcPr>
          <w:p w:rsidR="00015E23" w:rsidRPr="00015E23" w:rsidRDefault="00015E23">
            <w:pPr>
              <w:widowControl w:val="0"/>
              <w:spacing w:line="240" w:lineRule="auto"/>
              <w:rPr>
                <w:u w:val="single"/>
              </w:rPr>
            </w:pPr>
            <w:r w:rsidRPr="00015E23">
              <w:rPr>
                <w:b/>
                <w:u w:val="single"/>
              </w:rPr>
              <w:t>Constructing Supporting Questions</w:t>
            </w:r>
          </w:p>
          <w:p w:rsidR="00015E23" w:rsidRPr="00015E23" w:rsidRDefault="00015E23">
            <w:pPr>
              <w:widowControl w:val="0"/>
              <w:spacing w:line="240" w:lineRule="auto"/>
            </w:pPr>
            <w:r w:rsidRPr="00015E23">
              <w:rPr>
                <w:b/>
              </w:rPr>
              <w:t>D1.3.6-8</w:t>
            </w:r>
            <w:r w:rsidRPr="00015E23">
              <w:t>. Explain points of agreement experts have interpretations and applications of disciplinary concepts and ideas associated with a supporting question.</w:t>
            </w:r>
          </w:p>
          <w:p w:rsidR="00015E23" w:rsidRPr="00015E23" w:rsidRDefault="00015E23" w:rsidP="00015E23">
            <w:pPr>
              <w:widowControl w:val="0"/>
              <w:spacing w:line="240" w:lineRule="auto"/>
              <w:rPr>
                <w:u w:val="single"/>
              </w:rPr>
            </w:pPr>
            <w:r w:rsidRPr="00015E23">
              <w:rPr>
                <w:b/>
                <w:u w:val="single"/>
              </w:rPr>
              <w:t>Evaluating sources and using evidence:</w:t>
            </w:r>
          </w:p>
          <w:p w:rsidR="00015E23" w:rsidRPr="00015E23" w:rsidRDefault="00015E23" w:rsidP="00015E23">
            <w:pPr>
              <w:widowControl w:val="0"/>
              <w:spacing w:line="240" w:lineRule="auto"/>
            </w:pPr>
            <w:r w:rsidRPr="00015E23">
              <w:rPr>
                <w:b/>
              </w:rPr>
              <w:t>D3.1.6-8</w:t>
            </w:r>
            <w:r w:rsidRPr="00015E23">
              <w:t>. Gather relevant information from multiple sources while using the origin, authority, structure, context, and collaborative value of sources to guide the selection.</w:t>
            </w:r>
          </w:p>
          <w:p w:rsidR="00015E23" w:rsidRPr="00015E23" w:rsidRDefault="00015E23" w:rsidP="00015E23">
            <w:pPr>
              <w:widowControl w:val="0"/>
              <w:spacing w:line="240" w:lineRule="auto"/>
            </w:pPr>
            <w:r w:rsidRPr="00015E23">
              <w:rPr>
                <w:b/>
              </w:rPr>
              <w:t>D3.2.6-8</w:t>
            </w:r>
            <w:r w:rsidRPr="00015E23">
              <w:t xml:space="preserve">. Evaluate the credibility of a source by determining its relevance and intended use. </w:t>
            </w:r>
          </w:p>
          <w:p w:rsidR="00015E23" w:rsidRPr="00015E23" w:rsidRDefault="00015E23" w:rsidP="00015E23">
            <w:pPr>
              <w:widowControl w:val="0"/>
              <w:spacing w:line="240" w:lineRule="auto"/>
              <w:rPr>
                <w:u w:val="single"/>
              </w:rPr>
            </w:pPr>
            <w:r w:rsidRPr="00015E23">
              <w:rPr>
                <w:b/>
                <w:u w:val="single"/>
              </w:rPr>
              <w:t>Communicating conclusions:</w:t>
            </w:r>
          </w:p>
          <w:p w:rsidR="00015E23" w:rsidRPr="00015E23" w:rsidRDefault="00015E23" w:rsidP="00015E23">
            <w:pPr>
              <w:widowControl w:val="0"/>
              <w:spacing w:line="240" w:lineRule="auto"/>
            </w:pPr>
            <w:r w:rsidRPr="00015E23">
              <w:rPr>
                <w:b/>
              </w:rPr>
              <w:t>D4.3.6-8</w:t>
            </w:r>
            <w:r w:rsidRPr="00015E23">
              <w:t>. Present adaptations of arguments and explanations on topics of interest to others to reach audiences and venues outside the classroom using print and oral technologies (e.g., posters, essays, letters, debates, speeches, reports, and maps) and digital technologies (e.g., Internet, social media, and digital documentary).</w:t>
            </w:r>
          </w:p>
          <w:p w:rsidR="00015E23" w:rsidRPr="00015E23" w:rsidRDefault="00015E23" w:rsidP="00015E23">
            <w:pPr>
              <w:widowControl w:val="0"/>
              <w:spacing w:line="240" w:lineRule="auto"/>
              <w:rPr>
                <w:u w:val="single"/>
              </w:rPr>
            </w:pPr>
            <w:r w:rsidRPr="00015E23">
              <w:rPr>
                <w:b/>
                <w:u w:val="single"/>
              </w:rPr>
              <w:t>Taking informed action:</w:t>
            </w:r>
          </w:p>
          <w:p w:rsidR="00015E23" w:rsidRDefault="00015E23" w:rsidP="00015E23">
            <w:pPr>
              <w:widowControl w:val="0"/>
              <w:spacing w:line="240" w:lineRule="auto"/>
            </w:pPr>
            <w:r w:rsidRPr="00015E23">
              <w:rPr>
                <w:b/>
              </w:rPr>
              <w:t>D4.6.6-8</w:t>
            </w:r>
            <w:r w:rsidRPr="00015E23">
              <w:t>. Draw on multiple disciplinary lenses to analyze how a specific problem can manifest itself at local, regional, and global levels over time, identifying its characteristics and causes, and the challenges and opportunities faced by those trying to address the problem.</w:t>
            </w:r>
          </w:p>
        </w:tc>
      </w:tr>
    </w:tbl>
    <w:p w:rsidR="00C41A67" w:rsidRDefault="00C41A67"/>
    <w:p w:rsidR="00C41A67" w:rsidRDefault="00C41A67"/>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0"/>
        <w:gridCol w:w="7460"/>
      </w:tblGrid>
      <w:tr w:rsidR="00C41A67" w:rsidTr="00015E23">
        <w:trPr>
          <w:trHeight w:val="420"/>
        </w:trPr>
        <w:tc>
          <w:tcPr>
            <w:tcW w:w="9360" w:type="dxa"/>
            <w:gridSpan w:val="2"/>
            <w:shd w:val="clear" w:color="auto" w:fill="FFC000"/>
            <w:tcMar>
              <w:top w:w="100" w:type="dxa"/>
              <w:left w:w="100" w:type="dxa"/>
              <w:bottom w:w="100" w:type="dxa"/>
              <w:right w:w="100" w:type="dxa"/>
            </w:tcMar>
          </w:tcPr>
          <w:p w:rsidR="00C41A67" w:rsidRDefault="00015E23">
            <w:pPr>
              <w:widowControl w:val="0"/>
              <w:spacing w:line="240" w:lineRule="auto"/>
              <w:jc w:val="center"/>
            </w:pPr>
            <w:proofErr w:type="spellStart"/>
            <w:r>
              <w:rPr>
                <w:b/>
              </w:rPr>
              <w:t>Oceti</w:t>
            </w:r>
            <w:proofErr w:type="spellEnd"/>
            <w:r>
              <w:rPr>
                <w:b/>
              </w:rPr>
              <w:t xml:space="preserve"> </w:t>
            </w:r>
            <w:proofErr w:type="spellStart"/>
            <w:r>
              <w:rPr>
                <w:b/>
              </w:rPr>
              <w:t>Sakowin</w:t>
            </w:r>
            <w:proofErr w:type="spellEnd"/>
            <w:r>
              <w:rPr>
                <w:b/>
              </w:rPr>
              <w:t xml:space="preserve"> Essential Understandings:</w:t>
            </w:r>
          </w:p>
        </w:tc>
      </w:tr>
      <w:tr w:rsidR="00C41A67" w:rsidTr="00015E23">
        <w:tc>
          <w:tcPr>
            <w:tcW w:w="1900" w:type="dxa"/>
            <w:tcMar>
              <w:top w:w="100" w:type="dxa"/>
              <w:left w:w="100" w:type="dxa"/>
              <w:bottom w:w="100" w:type="dxa"/>
              <w:right w:w="100" w:type="dxa"/>
            </w:tcMar>
          </w:tcPr>
          <w:p w:rsidR="00C41A67" w:rsidRDefault="00015E23">
            <w:pPr>
              <w:widowControl w:val="0"/>
              <w:spacing w:line="240" w:lineRule="auto"/>
            </w:pPr>
            <w:r>
              <w:rPr>
                <w:b/>
              </w:rPr>
              <w:t>Essential Understanding:</w:t>
            </w:r>
          </w:p>
        </w:tc>
        <w:tc>
          <w:tcPr>
            <w:tcW w:w="7460" w:type="dxa"/>
            <w:tcMar>
              <w:top w:w="100" w:type="dxa"/>
              <w:left w:w="100" w:type="dxa"/>
              <w:bottom w:w="100" w:type="dxa"/>
              <w:right w:w="100" w:type="dxa"/>
            </w:tcMar>
          </w:tcPr>
          <w:p w:rsidR="00C41A67" w:rsidRDefault="00015E23">
            <w:pPr>
              <w:widowControl w:val="0"/>
              <w:spacing w:line="240" w:lineRule="auto"/>
            </w:pPr>
            <w:r>
              <w:rPr>
                <w:b/>
              </w:rPr>
              <w:t>Descriptive connection between SS and OSEU:</w:t>
            </w:r>
          </w:p>
        </w:tc>
      </w:tr>
      <w:tr w:rsidR="00C41A67" w:rsidTr="00015E23">
        <w:tc>
          <w:tcPr>
            <w:tcW w:w="1900" w:type="dxa"/>
            <w:tcMar>
              <w:top w:w="100" w:type="dxa"/>
              <w:left w:w="100" w:type="dxa"/>
              <w:bottom w:w="100" w:type="dxa"/>
              <w:right w:w="100" w:type="dxa"/>
            </w:tcMar>
            <w:vAlign w:val="center"/>
          </w:tcPr>
          <w:p w:rsidR="00C41A67" w:rsidRDefault="00DF25C4" w:rsidP="00015E23">
            <w:pPr>
              <w:widowControl w:val="0"/>
              <w:spacing w:line="240" w:lineRule="auto"/>
              <w:jc w:val="center"/>
            </w:pPr>
            <w:hyperlink r:id="rId10">
              <w:r w:rsidR="00015E23">
                <w:rPr>
                  <w:color w:val="1155CC"/>
                  <w:u w:val="single"/>
                </w:rPr>
                <w:t>OSEU 5</w:t>
              </w:r>
            </w:hyperlink>
          </w:p>
        </w:tc>
        <w:tc>
          <w:tcPr>
            <w:tcW w:w="7460" w:type="dxa"/>
            <w:tcMar>
              <w:top w:w="100" w:type="dxa"/>
              <w:left w:w="100" w:type="dxa"/>
              <w:bottom w:w="100" w:type="dxa"/>
              <w:right w:w="100" w:type="dxa"/>
            </w:tcMar>
          </w:tcPr>
          <w:p w:rsidR="00C41A67" w:rsidRDefault="00015E23" w:rsidP="00015E23">
            <w:pPr>
              <w:widowControl w:val="0"/>
              <w:numPr>
                <w:ilvl w:val="0"/>
                <w:numId w:val="1"/>
              </w:numPr>
              <w:spacing w:line="240" w:lineRule="auto"/>
              <w:ind w:hanging="360"/>
              <w:contextualSpacing/>
            </w:pPr>
            <w:r>
              <w:t xml:space="preserve">History told from the </w:t>
            </w:r>
            <w:proofErr w:type="spellStart"/>
            <w:r>
              <w:t>Oceti</w:t>
            </w:r>
            <w:proofErr w:type="spellEnd"/>
            <w:r>
              <w:t xml:space="preserve"> </w:t>
            </w:r>
            <w:proofErr w:type="spellStart"/>
            <w:r>
              <w:t>Sakowin</w:t>
            </w:r>
            <w:proofErr w:type="spellEnd"/>
            <w:r>
              <w:t xml:space="preserve"> perspective, through oral tradition and written </w:t>
            </w:r>
            <w:proofErr w:type="gramStart"/>
            <w:r>
              <w:t>accounts,</w:t>
            </w:r>
            <w:proofErr w:type="gramEnd"/>
            <w:r>
              <w:t xml:space="preserve"> should be included in the historical narrative and should be viewed as a historical valid perspective.</w:t>
            </w:r>
          </w:p>
        </w:tc>
      </w:tr>
    </w:tbl>
    <w:p w:rsidR="00C41A67" w:rsidRDefault="00C41A67"/>
    <w:sectPr w:rsidR="00C41A6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A53" w:rsidRDefault="00671A53" w:rsidP="00671A53">
      <w:pPr>
        <w:spacing w:line="240" w:lineRule="auto"/>
      </w:pPr>
      <w:r>
        <w:separator/>
      </w:r>
    </w:p>
  </w:endnote>
  <w:endnote w:type="continuationSeparator" w:id="0">
    <w:p w:rsidR="00671A53" w:rsidRDefault="00671A53" w:rsidP="00671A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A53" w:rsidRDefault="00671A53" w:rsidP="00671A53">
      <w:pPr>
        <w:spacing w:line="240" w:lineRule="auto"/>
      </w:pPr>
      <w:r>
        <w:separator/>
      </w:r>
    </w:p>
  </w:footnote>
  <w:footnote w:type="continuationSeparator" w:id="0">
    <w:p w:rsidR="00671A53" w:rsidRDefault="00671A53" w:rsidP="00671A5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A53" w:rsidRDefault="00671A53" w:rsidP="00671A53">
    <w:pPr>
      <w:jc w:val="center"/>
    </w:pPr>
    <w:r>
      <w:rPr>
        <w:b/>
        <w:sz w:val="24"/>
        <w:szCs w:val="24"/>
      </w:rPr>
      <w:t>SD Social Studies State Standards Disaggregated Template</w:t>
    </w:r>
  </w:p>
  <w:p w:rsidR="00671A53" w:rsidRDefault="00671A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C4379"/>
    <w:multiLevelType w:val="multilevel"/>
    <w:tmpl w:val="83F82A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76834CE3"/>
    <w:multiLevelType w:val="multilevel"/>
    <w:tmpl w:val="EEA8518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41A67"/>
    <w:rsid w:val="00015E23"/>
    <w:rsid w:val="00671A53"/>
    <w:rsid w:val="00C41A67"/>
    <w:rsid w:val="00DF2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671A53"/>
    <w:pPr>
      <w:tabs>
        <w:tab w:val="center" w:pos="4680"/>
        <w:tab w:val="right" w:pos="9360"/>
      </w:tabs>
      <w:spacing w:line="240" w:lineRule="auto"/>
    </w:pPr>
  </w:style>
  <w:style w:type="character" w:customStyle="1" w:styleId="HeaderChar">
    <w:name w:val="Header Char"/>
    <w:basedOn w:val="DefaultParagraphFont"/>
    <w:link w:val="Header"/>
    <w:uiPriority w:val="99"/>
    <w:rsid w:val="00671A53"/>
  </w:style>
  <w:style w:type="paragraph" w:styleId="Footer">
    <w:name w:val="footer"/>
    <w:basedOn w:val="Normal"/>
    <w:link w:val="FooterChar"/>
    <w:uiPriority w:val="99"/>
    <w:unhideWhenUsed/>
    <w:rsid w:val="00671A53"/>
    <w:pPr>
      <w:tabs>
        <w:tab w:val="center" w:pos="4680"/>
        <w:tab w:val="right" w:pos="9360"/>
      </w:tabs>
      <w:spacing w:line="240" w:lineRule="auto"/>
    </w:pPr>
  </w:style>
  <w:style w:type="character" w:customStyle="1" w:styleId="FooterChar">
    <w:name w:val="Footer Char"/>
    <w:basedOn w:val="DefaultParagraphFont"/>
    <w:link w:val="Footer"/>
    <w:uiPriority w:val="99"/>
    <w:rsid w:val="00671A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671A53"/>
    <w:pPr>
      <w:tabs>
        <w:tab w:val="center" w:pos="4680"/>
        <w:tab w:val="right" w:pos="9360"/>
      </w:tabs>
      <w:spacing w:line="240" w:lineRule="auto"/>
    </w:pPr>
  </w:style>
  <w:style w:type="character" w:customStyle="1" w:styleId="HeaderChar">
    <w:name w:val="Header Char"/>
    <w:basedOn w:val="DefaultParagraphFont"/>
    <w:link w:val="Header"/>
    <w:uiPriority w:val="99"/>
    <w:rsid w:val="00671A53"/>
  </w:style>
  <w:style w:type="paragraph" w:styleId="Footer">
    <w:name w:val="footer"/>
    <w:basedOn w:val="Normal"/>
    <w:link w:val="FooterChar"/>
    <w:uiPriority w:val="99"/>
    <w:unhideWhenUsed/>
    <w:rsid w:val="00671A53"/>
    <w:pPr>
      <w:tabs>
        <w:tab w:val="center" w:pos="4680"/>
        <w:tab w:val="right" w:pos="9360"/>
      </w:tabs>
      <w:spacing w:line="240" w:lineRule="auto"/>
    </w:pPr>
  </w:style>
  <w:style w:type="character" w:customStyle="1" w:styleId="FooterChar">
    <w:name w:val="Footer Char"/>
    <w:basedOn w:val="DefaultParagraphFont"/>
    <w:link w:val="Footer"/>
    <w:uiPriority w:val="99"/>
    <w:rsid w:val="00671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827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mixcloud.com/scottsimpsonsdwolakota/playlists/oseu-5/"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09511-4AD3-43A4-9643-4E700A553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394</Words>
  <Characters>2249</Characters>
  <Application>Microsoft Office Word</Application>
  <DocSecurity>0</DocSecurity>
  <Lines>18</Lines>
  <Paragraphs>5</Paragraphs>
  <ScaleCrop>false</ScaleCrop>
  <Company>State of South Dakota</Company>
  <LinksUpToDate>false</LinksUpToDate>
  <CharactersWithSpaces>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2015-09-24T17:56:00Z</dcterms:created>
  <dcterms:modified xsi:type="dcterms:W3CDTF">2015-10-05T18:01:00Z</dcterms:modified>
</cp:coreProperties>
</file>