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50"/>
        <w:gridCol w:w="7920"/>
      </w:tblGrid>
      <w:tr w:rsidR="00595C22" w:rsidTr="00D81268">
        <w:tc>
          <w:tcPr>
            <w:tcW w:w="1450" w:type="dxa"/>
            <w:shd w:val="clear" w:color="auto" w:fill="92CDDC" w:themeFill="accent5" w:themeFillTint="99"/>
            <w:tcMar>
              <w:top w:w="100" w:type="dxa"/>
              <w:left w:w="100" w:type="dxa"/>
              <w:bottom w:w="100" w:type="dxa"/>
              <w:right w:w="100" w:type="dxa"/>
            </w:tcMar>
          </w:tcPr>
          <w:p w:rsidR="00595C22" w:rsidRDefault="00595C22" w:rsidP="00F97403">
            <w:pPr>
              <w:widowControl w:val="0"/>
              <w:spacing w:line="240" w:lineRule="auto"/>
            </w:pPr>
            <w:r>
              <w:rPr>
                <w:b/>
              </w:rPr>
              <w:t xml:space="preserve">Grade </w:t>
            </w:r>
            <w:bookmarkStart w:id="0" w:name="_GoBack"/>
            <w:bookmarkEnd w:id="0"/>
            <w:r>
              <w:rPr>
                <w:b/>
              </w:rPr>
              <w:t>Level:</w:t>
            </w:r>
          </w:p>
        </w:tc>
        <w:tc>
          <w:tcPr>
            <w:tcW w:w="7920" w:type="dxa"/>
            <w:tcMar>
              <w:top w:w="100" w:type="dxa"/>
              <w:left w:w="100" w:type="dxa"/>
              <w:bottom w:w="100" w:type="dxa"/>
              <w:right w:w="100" w:type="dxa"/>
            </w:tcMar>
            <w:vAlign w:val="center"/>
          </w:tcPr>
          <w:p w:rsidR="00595C22" w:rsidRDefault="00595C22" w:rsidP="00D81268">
            <w:pPr>
              <w:widowControl w:val="0"/>
              <w:spacing w:line="240" w:lineRule="auto"/>
            </w:pPr>
            <w:r>
              <w:t>High School</w:t>
            </w:r>
          </w:p>
        </w:tc>
      </w:tr>
      <w:tr w:rsidR="00595C22" w:rsidTr="00D81268">
        <w:tc>
          <w:tcPr>
            <w:tcW w:w="1450" w:type="dxa"/>
            <w:shd w:val="clear" w:color="auto" w:fill="92CDDC" w:themeFill="accent5" w:themeFillTint="99"/>
            <w:tcMar>
              <w:top w:w="100" w:type="dxa"/>
              <w:left w:w="100" w:type="dxa"/>
              <w:bottom w:w="100" w:type="dxa"/>
              <w:right w:w="100" w:type="dxa"/>
            </w:tcMar>
          </w:tcPr>
          <w:p w:rsidR="00595C22" w:rsidRDefault="00595C22" w:rsidP="00F97403">
            <w:pPr>
              <w:widowControl w:val="0"/>
              <w:spacing w:line="240" w:lineRule="auto"/>
            </w:pPr>
            <w:r>
              <w:rPr>
                <w:b/>
              </w:rPr>
              <w:t>Subject:</w:t>
            </w:r>
          </w:p>
        </w:tc>
        <w:tc>
          <w:tcPr>
            <w:tcW w:w="7920" w:type="dxa"/>
            <w:tcMar>
              <w:top w:w="100" w:type="dxa"/>
              <w:left w:w="100" w:type="dxa"/>
              <w:bottom w:w="100" w:type="dxa"/>
              <w:right w:w="100" w:type="dxa"/>
            </w:tcMar>
          </w:tcPr>
          <w:p w:rsidR="00595C22" w:rsidRDefault="00595C22" w:rsidP="00F97403">
            <w:pPr>
              <w:widowControl w:val="0"/>
              <w:spacing w:line="240" w:lineRule="auto"/>
            </w:pPr>
            <w:r>
              <w:t>Geography</w:t>
            </w:r>
          </w:p>
        </w:tc>
      </w:tr>
      <w:tr w:rsidR="00595C22" w:rsidTr="00D81268">
        <w:tc>
          <w:tcPr>
            <w:tcW w:w="1450" w:type="dxa"/>
            <w:shd w:val="clear" w:color="auto" w:fill="92CDDC" w:themeFill="accent5" w:themeFillTint="99"/>
            <w:tcMar>
              <w:top w:w="100" w:type="dxa"/>
              <w:left w:w="100" w:type="dxa"/>
              <w:bottom w:w="100" w:type="dxa"/>
              <w:right w:w="100" w:type="dxa"/>
            </w:tcMar>
          </w:tcPr>
          <w:p w:rsidR="00595C22" w:rsidRDefault="00595C22" w:rsidP="00F97403">
            <w:pPr>
              <w:widowControl w:val="0"/>
              <w:spacing w:line="240" w:lineRule="auto"/>
            </w:pPr>
            <w:r>
              <w:rPr>
                <w:b/>
              </w:rPr>
              <w:t>K-12 Anchor Standard:</w:t>
            </w:r>
          </w:p>
        </w:tc>
        <w:tc>
          <w:tcPr>
            <w:tcW w:w="7920" w:type="dxa"/>
            <w:tcMar>
              <w:top w:w="100" w:type="dxa"/>
              <w:left w:w="100" w:type="dxa"/>
              <w:bottom w:w="100" w:type="dxa"/>
              <w:right w:w="100" w:type="dxa"/>
            </w:tcMar>
            <w:vAlign w:val="center"/>
          </w:tcPr>
          <w:p w:rsidR="00595C22" w:rsidRDefault="00595C22" w:rsidP="00D81268">
            <w:pPr>
              <w:widowControl w:val="0"/>
              <w:spacing w:line="240" w:lineRule="auto"/>
            </w:pPr>
            <w:r w:rsidRPr="000C61D2">
              <w:t>G.5</w:t>
            </w:r>
            <w:r w:rsidR="000C61D2">
              <w:t xml:space="preserve"> </w:t>
            </w:r>
            <w:r>
              <w:t>Students will recognize and explain the role population and culture play in creating diversity within the world’s places and regions.</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50"/>
        <w:gridCol w:w="7910"/>
      </w:tblGrid>
      <w:tr w:rsidR="00595C22" w:rsidTr="00D81268">
        <w:tc>
          <w:tcPr>
            <w:tcW w:w="1450" w:type="dxa"/>
            <w:shd w:val="clear" w:color="auto" w:fill="92CDDC" w:themeFill="accent5" w:themeFillTint="99"/>
            <w:tcMar>
              <w:top w:w="100" w:type="dxa"/>
              <w:left w:w="100" w:type="dxa"/>
              <w:bottom w:w="100" w:type="dxa"/>
              <w:right w:w="100" w:type="dxa"/>
            </w:tcMar>
            <w:vAlign w:val="center"/>
          </w:tcPr>
          <w:p w:rsidR="00595C22" w:rsidRDefault="00595C22" w:rsidP="00595C22">
            <w:pPr>
              <w:widowControl w:val="0"/>
              <w:spacing w:line="240" w:lineRule="auto"/>
            </w:pPr>
            <w:r>
              <w:rPr>
                <w:b/>
              </w:rPr>
              <w:t>Grade-Level Standards:</w:t>
            </w:r>
          </w:p>
        </w:tc>
        <w:tc>
          <w:tcPr>
            <w:tcW w:w="7910" w:type="dxa"/>
            <w:shd w:val="clear" w:color="auto" w:fill="auto"/>
            <w:vAlign w:val="center"/>
          </w:tcPr>
          <w:p w:rsidR="00595C22" w:rsidRPr="000C61D2" w:rsidRDefault="00595C22" w:rsidP="00D81268">
            <w:pPr>
              <w:widowControl w:val="0"/>
              <w:spacing w:line="240" w:lineRule="auto"/>
              <w:rPr>
                <w:b/>
              </w:rPr>
            </w:pPr>
            <w:r w:rsidRPr="000C61D2">
              <w:rPr>
                <w:b/>
              </w:rPr>
              <w:t>9-12.G.5.3 Explain how human migration impacts local and global politics, economies, societies, and regions.</w:t>
            </w:r>
          </w:p>
        </w:tc>
      </w:tr>
    </w:tbl>
    <w:p w:rsidR="00796C24" w:rsidRDefault="00796C24"/>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96C24" w:rsidTr="00D81268">
        <w:tc>
          <w:tcPr>
            <w:tcW w:w="9360" w:type="dxa"/>
            <w:shd w:val="clear" w:color="auto" w:fill="92CDDC" w:themeFill="accent5" w:themeFillTint="99"/>
            <w:tcMar>
              <w:top w:w="100" w:type="dxa"/>
              <w:left w:w="100" w:type="dxa"/>
              <w:bottom w:w="100" w:type="dxa"/>
              <w:right w:w="100" w:type="dxa"/>
            </w:tcMar>
          </w:tcPr>
          <w:p w:rsidR="00796C24" w:rsidRDefault="00D81268">
            <w:pPr>
              <w:widowControl w:val="0"/>
              <w:spacing w:line="240" w:lineRule="auto"/>
              <w:jc w:val="center"/>
            </w:pPr>
            <w:r>
              <w:rPr>
                <w:b/>
              </w:rPr>
              <w:t>Student Friendly Language:</w:t>
            </w:r>
          </w:p>
        </w:tc>
      </w:tr>
      <w:tr w:rsidR="00796C24">
        <w:tc>
          <w:tcPr>
            <w:tcW w:w="9360" w:type="dxa"/>
            <w:tcMar>
              <w:top w:w="100" w:type="dxa"/>
              <w:left w:w="100" w:type="dxa"/>
              <w:bottom w:w="100" w:type="dxa"/>
              <w:right w:w="100" w:type="dxa"/>
            </w:tcMar>
          </w:tcPr>
          <w:p w:rsidR="00796C24" w:rsidRDefault="00D81268">
            <w:pPr>
              <w:widowControl w:val="0"/>
              <w:spacing w:after="160" w:line="240" w:lineRule="auto"/>
            </w:pPr>
            <w:r>
              <w:t>I can explain how the movement of people across the earth impact all aspects of human life.</w:t>
            </w:r>
            <w:r>
              <w:rPr>
                <w:color w:val="4A86E8"/>
              </w:rPr>
              <w:t xml:space="preserve">  </w:t>
            </w:r>
          </w:p>
        </w:tc>
      </w:tr>
    </w:tbl>
    <w:p w:rsidR="00796C24" w:rsidRDefault="00796C24"/>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796C24" w:rsidTr="00D81268">
        <w:tc>
          <w:tcPr>
            <w:tcW w:w="3120" w:type="dxa"/>
            <w:shd w:val="clear" w:color="auto" w:fill="92CDDC" w:themeFill="accent5" w:themeFillTint="99"/>
            <w:tcMar>
              <w:top w:w="100" w:type="dxa"/>
              <w:left w:w="100" w:type="dxa"/>
              <w:bottom w:w="100" w:type="dxa"/>
              <w:right w:w="100" w:type="dxa"/>
            </w:tcMar>
          </w:tcPr>
          <w:p w:rsidR="00796C24" w:rsidRDefault="00D81268">
            <w:pPr>
              <w:widowControl w:val="0"/>
              <w:spacing w:line="240" w:lineRule="auto"/>
              <w:jc w:val="center"/>
            </w:pPr>
            <w:r>
              <w:rPr>
                <w:b/>
              </w:rPr>
              <w:t>Know</w:t>
            </w:r>
          </w:p>
          <w:p w:rsidR="00796C24" w:rsidRDefault="00D81268">
            <w:pPr>
              <w:widowControl w:val="0"/>
              <w:spacing w:line="240" w:lineRule="auto"/>
              <w:jc w:val="center"/>
            </w:pPr>
            <w:r>
              <w:t>(Factual)</w:t>
            </w:r>
          </w:p>
        </w:tc>
        <w:tc>
          <w:tcPr>
            <w:tcW w:w="3120" w:type="dxa"/>
            <w:shd w:val="clear" w:color="auto" w:fill="92CDDC" w:themeFill="accent5" w:themeFillTint="99"/>
            <w:tcMar>
              <w:top w:w="100" w:type="dxa"/>
              <w:left w:w="100" w:type="dxa"/>
              <w:bottom w:w="100" w:type="dxa"/>
              <w:right w:w="100" w:type="dxa"/>
            </w:tcMar>
          </w:tcPr>
          <w:p w:rsidR="00796C24" w:rsidRDefault="00D81268">
            <w:pPr>
              <w:widowControl w:val="0"/>
              <w:spacing w:line="240" w:lineRule="auto"/>
              <w:jc w:val="center"/>
            </w:pPr>
            <w:r>
              <w:rPr>
                <w:b/>
              </w:rPr>
              <w:t>Understand</w:t>
            </w:r>
          </w:p>
          <w:p w:rsidR="00796C24" w:rsidRDefault="00D81268">
            <w:pPr>
              <w:widowControl w:val="0"/>
              <w:spacing w:line="240" w:lineRule="auto"/>
              <w:jc w:val="center"/>
            </w:pPr>
            <w:r>
              <w:t>(Conceptual)</w:t>
            </w:r>
          </w:p>
          <w:p w:rsidR="00796C24" w:rsidRDefault="00D81268">
            <w:pPr>
              <w:widowControl w:val="0"/>
              <w:spacing w:line="240" w:lineRule="auto"/>
              <w:jc w:val="center"/>
            </w:pPr>
            <w:r>
              <w:t>The students will understand that:</w:t>
            </w:r>
          </w:p>
        </w:tc>
        <w:tc>
          <w:tcPr>
            <w:tcW w:w="3120" w:type="dxa"/>
            <w:shd w:val="clear" w:color="auto" w:fill="92CDDC" w:themeFill="accent5" w:themeFillTint="99"/>
            <w:tcMar>
              <w:top w:w="100" w:type="dxa"/>
              <w:left w:w="100" w:type="dxa"/>
              <w:bottom w:w="100" w:type="dxa"/>
              <w:right w:w="100" w:type="dxa"/>
            </w:tcMar>
          </w:tcPr>
          <w:p w:rsidR="00796C24" w:rsidRDefault="00D81268">
            <w:pPr>
              <w:widowControl w:val="0"/>
              <w:spacing w:line="240" w:lineRule="auto"/>
              <w:jc w:val="center"/>
            </w:pPr>
            <w:r>
              <w:rPr>
                <w:b/>
              </w:rPr>
              <w:t>Do</w:t>
            </w:r>
          </w:p>
          <w:p w:rsidR="00796C24" w:rsidRDefault="00D81268">
            <w:pPr>
              <w:widowControl w:val="0"/>
              <w:spacing w:line="240" w:lineRule="auto"/>
              <w:jc w:val="center"/>
            </w:pPr>
            <w:r>
              <w:t>(Procedural, Application, Extended Thinking)</w:t>
            </w:r>
          </w:p>
        </w:tc>
      </w:tr>
      <w:tr w:rsidR="00796C24">
        <w:trPr>
          <w:trHeight w:val="420"/>
        </w:trPr>
        <w:tc>
          <w:tcPr>
            <w:tcW w:w="3120" w:type="dxa"/>
            <w:tcMar>
              <w:top w:w="100" w:type="dxa"/>
              <w:left w:w="100" w:type="dxa"/>
              <w:bottom w:w="100" w:type="dxa"/>
              <w:right w:w="100" w:type="dxa"/>
            </w:tcMar>
          </w:tcPr>
          <w:p w:rsidR="00796C24" w:rsidRDefault="00D81268">
            <w:pPr>
              <w:widowControl w:val="0"/>
              <w:numPr>
                <w:ilvl w:val="0"/>
                <w:numId w:val="1"/>
              </w:numPr>
              <w:spacing w:after="160" w:line="240" w:lineRule="auto"/>
              <w:ind w:hanging="360"/>
              <w:contextualSpacing/>
            </w:pPr>
            <w:r>
              <w:t>migration</w:t>
            </w:r>
          </w:p>
          <w:p w:rsidR="00796C24" w:rsidRDefault="00D81268">
            <w:pPr>
              <w:widowControl w:val="0"/>
              <w:numPr>
                <w:ilvl w:val="0"/>
                <w:numId w:val="2"/>
              </w:numPr>
              <w:spacing w:after="160" w:line="240" w:lineRule="auto"/>
              <w:ind w:hanging="360"/>
              <w:contextualSpacing/>
            </w:pPr>
            <w:r>
              <w:t>forced migration</w:t>
            </w:r>
          </w:p>
          <w:p w:rsidR="00796C24" w:rsidRDefault="00D81268">
            <w:pPr>
              <w:widowControl w:val="0"/>
              <w:numPr>
                <w:ilvl w:val="0"/>
                <w:numId w:val="2"/>
              </w:numPr>
              <w:spacing w:after="160" w:line="240" w:lineRule="auto"/>
              <w:ind w:hanging="360"/>
              <w:contextualSpacing/>
            </w:pPr>
            <w:r>
              <w:t>refugees</w:t>
            </w:r>
          </w:p>
          <w:p w:rsidR="00796C24" w:rsidRDefault="00D81268">
            <w:pPr>
              <w:widowControl w:val="0"/>
              <w:numPr>
                <w:ilvl w:val="0"/>
                <w:numId w:val="2"/>
              </w:numPr>
              <w:spacing w:after="160" w:line="240" w:lineRule="auto"/>
              <w:ind w:hanging="360"/>
              <w:contextualSpacing/>
            </w:pPr>
            <w:r>
              <w:t>how states/nations respond to migration</w:t>
            </w:r>
          </w:p>
          <w:p w:rsidR="00796C24" w:rsidRDefault="00D81268">
            <w:pPr>
              <w:widowControl w:val="0"/>
              <w:numPr>
                <w:ilvl w:val="0"/>
                <w:numId w:val="2"/>
              </w:numPr>
              <w:spacing w:after="160" w:line="240" w:lineRule="auto"/>
              <w:ind w:hanging="360"/>
              <w:contextualSpacing/>
            </w:pPr>
            <w:r>
              <w:t>what factors influence migration</w:t>
            </w:r>
          </w:p>
          <w:p w:rsidR="00796C24" w:rsidRDefault="00D81268">
            <w:pPr>
              <w:widowControl w:val="0"/>
              <w:numPr>
                <w:ilvl w:val="0"/>
                <w:numId w:val="2"/>
              </w:numPr>
              <w:spacing w:after="160" w:line="240" w:lineRule="auto"/>
              <w:ind w:hanging="360"/>
              <w:contextualSpacing/>
            </w:pPr>
            <w:r>
              <w:t>various impacts of migration on both receiving and sending nations</w:t>
            </w:r>
          </w:p>
        </w:tc>
        <w:tc>
          <w:tcPr>
            <w:tcW w:w="3120" w:type="dxa"/>
            <w:tcMar>
              <w:top w:w="100" w:type="dxa"/>
              <w:left w:w="100" w:type="dxa"/>
              <w:bottom w:w="100" w:type="dxa"/>
              <w:right w:w="100" w:type="dxa"/>
            </w:tcMar>
          </w:tcPr>
          <w:p w:rsidR="00796C24" w:rsidRDefault="00D81268">
            <w:pPr>
              <w:widowControl w:val="0"/>
              <w:spacing w:after="160" w:line="240" w:lineRule="auto"/>
            </w:pPr>
            <w:r>
              <w:t>Migration is a fundamental element of an ever developing global society.</w:t>
            </w:r>
          </w:p>
          <w:p w:rsidR="00796C24" w:rsidRDefault="00D81268">
            <w:pPr>
              <w:widowControl w:val="0"/>
              <w:spacing w:after="160" w:line="240" w:lineRule="auto"/>
            </w:pPr>
            <w:r>
              <w:t>Migration can be influenced by both positive and negative circumstances.</w:t>
            </w:r>
          </w:p>
          <w:p w:rsidR="00796C24" w:rsidRDefault="00D81268">
            <w:pPr>
              <w:widowControl w:val="0"/>
              <w:spacing w:after="160" w:line="240" w:lineRule="auto"/>
            </w:pPr>
            <w:r>
              <w:t>Migration impacts both sending and receiving countries in profound ways.</w:t>
            </w:r>
          </w:p>
        </w:tc>
        <w:tc>
          <w:tcPr>
            <w:tcW w:w="3120" w:type="dxa"/>
            <w:tcMar>
              <w:top w:w="100" w:type="dxa"/>
              <w:left w:w="100" w:type="dxa"/>
              <w:bottom w:w="100" w:type="dxa"/>
              <w:right w:w="100" w:type="dxa"/>
            </w:tcMar>
          </w:tcPr>
          <w:p w:rsidR="00796C24" w:rsidRDefault="00D81268">
            <w:pPr>
              <w:widowControl w:val="0"/>
              <w:spacing w:after="160" w:line="240" w:lineRule="auto"/>
            </w:pPr>
            <w:r>
              <w:t>Explain different methods by which humans migrate.</w:t>
            </w:r>
          </w:p>
          <w:p w:rsidR="00796C24" w:rsidRDefault="00D81268">
            <w:pPr>
              <w:widowControl w:val="0"/>
              <w:spacing w:after="160" w:line="240" w:lineRule="auto"/>
            </w:pPr>
            <w:r>
              <w:t>Identify the differences between voluntary and forced migration.</w:t>
            </w:r>
          </w:p>
          <w:p w:rsidR="00796C24" w:rsidRDefault="00D81268">
            <w:pPr>
              <w:widowControl w:val="0"/>
              <w:spacing w:after="160" w:line="240" w:lineRule="auto"/>
            </w:pPr>
            <w:r>
              <w:t>Assess how migration impacts both sending and receiving nations.</w:t>
            </w:r>
          </w:p>
          <w:p w:rsidR="00796C24" w:rsidRDefault="00796C24">
            <w:pPr>
              <w:widowControl w:val="0"/>
              <w:spacing w:after="160" w:line="240" w:lineRule="auto"/>
            </w:pPr>
          </w:p>
        </w:tc>
      </w:tr>
    </w:tbl>
    <w:p w:rsidR="00796C24" w:rsidRDefault="00796C24"/>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796C24" w:rsidTr="00D81268">
        <w:trPr>
          <w:gridAfter w:val="1"/>
          <w:wAfter w:w="10" w:type="dxa"/>
          <w:trHeight w:val="420"/>
        </w:trPr>
        <w:tc>
          <w:tcPr>
            <w:tcW w:w="9360" w:type="dxa"/>
            <w:shd w:val="clear" w:color="auto" w:fill="92CDDC" w:themeFill="accent5" w:themeFillTint="99"/>
            <w:tcMar>
              <w:top w:w="100" w:type="dxa"/>
              <w:left w:w="100" w:type="dxa"/>
              <w:bottom w:w="100" w:type="dxa"/>
              <w:right w:w="100" w:type="dxa"/>
            </w:tcMar>
          </w:tcPr>
          <w:p w:rsidR="00796C24" w:rsidRDefault="00D81268">
            <w:pPr>
              <w:widowControl w:val="0"/>
              <w:spacing w:line="240" w:lineRule="auto"/>
              <w:jc w:val="center"/>
            </w:pPr>
            <w:r>
              <w:rPr>
                <w:b/>
              </w:rPr>
              <w:t>C3 Framework Relevant Skills and Applications:</w:t>
            </w:r>
          </w:p>
        </w:tc>
      </w:tr>
      <w:tr w:rsidR="00595C22" w:rsidTr="00595C22">
        <w:tc>
          <w:tcPr>
            <w:tcW w:w="9370" w:type="dxa"/>
            <w:gridSpan w:val="2"/>
            <w:tcMar>
              <w:top w:w="100" w:type="dxa"/>
              <w:left w:w="100" w:type="dxa"/>
              <w:bottom w:w="100" w:type="dxa"/>
              <w:right w:w="100" w:type="dxa"/>
            </w:tcMar>
          </w:tcPr>
          <w:p w:rsidR="00595C22" w:rsidRPr="00595C22" w:rsidRDefault="00595C22">
            <w:pPr>
              <w:widowControl w:val="0"/>
              <w:spacing w:line="240" w:lineRule="auto"/>
              <w:rPr>
                <w:u w:val="single"/>
              </w:rPr>
            </w:pPr>
            <w:r w:rsidRPr="00595C22">
              <w:rPr>
                <w:b/>
                <w:u w:val="single"/>
              </w:rPr>
              <w:t>Constructing Supporting Questions</w:t>
            </w:r>
          </w:p>
          <w:p w:rsidR="00595C22" w:rsidRPr="00595C22" w:rsidRDefault="00595C22">
            <w:pPr>
              <w:widowControl w:val="0"/>
              <w:spacing w:line="240" w:lineRule="auto"/>
            </w:pPr>
            <w:r w:rsidRPr="00595C22">
              <w:rPr>
                <w:b/>
              </w:rPr>
              <w:t>D1.4.9-12</w:t>
            </w:r>
            <w:r w:rsidRPr="00595C22">
              <w:t>. Explain how supporting questions contribute to an inquiry and how, through engaging source work, new compelling and supporting questions emerge.</w:t>
            </w:r>
          </w:p>
          <w:p w:rsidR="00595C22" w:rsidRPr="00595C22" w:rsidRDefault="00595C22" w:rsidP="00595C22">
            <w:pPr>
              <w:widowControl w:val="0"/>
              <w:spacing w:line="240" w:lineRule="auto"/>
              <w:rPr>
                <w:u w:val="single"/>
              </w:rPr>
            </w:pPr>
            <w:r w:rsidRPr="00595C22">
              <w:rPr>
                <w:b/>
                <w:u w:val="single"/>
              </w:rPr>
              <w:t>Developing Claims and Using Evidence:</w:t>
            </w:r>
          </w:p>
          <w:p w:rsidR="00595C22" w:rsidRPr="00595C22" w:rsidRDefault="00595C22" w:rsidP="00595C22">
            <w:pPr>
              <w:widowControl w:val="0"/>
              <w:spacing w:line="240" w:lineRule="auto"/>
            </w:pPr>
            <w:r w:rsidRPr="00595C22">
              <w:rPr>
                <w:b/>
              </w:rPr>
              <w:t>D3.3.9-12</w:t>
            </w:r>
            <w:r w:rsidRPr="00595C22">
              <w:t>. Identify evidence that draws information directly and substantively from the multiple sources to detect inconsistencies in evidence in order to revise or strengthen claims.</w:t>
            </w:r>
          </w:p>
          <w:p w:rsidR="00595C22" w:rsidRPr="00595C22" w:rsidRDefault="00595C22" w:rsidP="00595C22">
            <w:pPr>
              <w:widowControl w:val="0"/>
              <w:spacing w:line="240" w:lineRule="auto"/>
              <w:rPr>
                <w:u w:val="single"/>
              </w:rPr>
            </w:pPr>
            <w:r w:rsidRPr="00595C22">
              <w:rPr>
                <w:b/>
                <w:u w:val="single"/>
              </w:rPr>
              <w:t>Communicating conclusions:</w:t>
            </w:r>
          </w:p>
          <w:p w:rsidR="00595C22" w:rsidRDefault="00595C22" w:rsidP="00595C22">
            <w:pPr>
              <w:widowControl w:val="0"/>
              <w:spacing w:line="240" w:lineRule="auto"/>
            </w:pPr>
            <w:r w:rsidRPr="00595C22">
              <w:rPr>
                <w:b/>
              </w:rPr>
              <w:t>D4.5.9-12</w:t>
            </w:r>
            <w:r w:rsidRPr="00595C22">
              <w:t>. Critique the use of the reasoning, sequencing, and supporting details of explanations.</w:t>
            </w:r>
          </w:p>
        </w:tc>
      </w:tr>
    </w:tbl>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0"/>
        <w:gridCol w:w="7010"/>
      </w:tblGrid>
      <w:tr w:rsidR="00796C24" w:rsidTr="00D81268">
        <w:trPr>
          <w:trHeight w:val="420"/>
        </w:trPr>
        <w:tc>
          <w:tcPr>
            <w:tcW w:w="9360" w:type="dxa"/>
            <w:gridSpan w:val="2"/>
            <w:shd w:val="clear" w:color="auto" w:fill="92CDDC" w:themeFill="accent5" w:themeFillTint="99"/>
            <w:tcMar>
              <w:top w:w="100" w:type="dxa"/>
              <w:left w:w="100" w:type="dxa"/>
              <w:bottom w:w="100" w:type="dxa"/>
              <w:right w:w="100" w:type="dxa"/>
            </w:tcMar>
          </w:tcPr>
          <w:p w:rsidR="00796C24" w:rsidRDefault="00D81268">
            <w:pPr>
              <w:widowControl w:val="0"/>
              <w:spacing w:line="240" w:lineRule="auto"/>
              <w:jc w:val="center"/>
            </w:pPr>
            <w:r>
              <w:rPr>
                <w:b/>
              </w:rPr>
              <w:lastRenderedPageBreak/>
              <w:t>Oceti Sakowin Essential Understandings:</w:t>
            </w:r>
          </w:p>
        </w:tc>
      </w:tr>
      <w:tr w:rsidR="00796C24" w:rsidTr="00D81268">
        <w:tc>
          <w:tcPr>
            <w:tcW w:w="2350" w:type="dxa"/>
            <w:tcMar>
              <w:top w:w="100" w:type="dxa"/>
              <w:left w:w="100" w:type="dxa"/>
              <w:bottom w:w="100" w:type="dxa"/>
              <w:right w:w="100" w:type="dxa"/>
            </w:tcMar>
          </w:tcPr>
          <w:p w:rsidR="00796C24" w:rsidRDefault="00D81268">
            <w:pPr>
              <w:widowControl w:val="0"/>
              <w:spacing w:line="240" w:lineRule="auto"/>
            </w:pPr>
            <w:r>
              <w:rPr>
                <w:b/>
              </w:rPr>
              <w:t>Essential Understanding:</w:t>
            </w:r>
          </w:p>
        </w:tc>
        <w:tc>
          <w:tcPr>
            <w:tcW w:w="7010" w:type="dxa"/>
            <w:shd w:val="clear" w:color="auto" w:fill="FFFFFF" w:themeFill="background1"/>
            <w:tcMar>
              <w:top w:w="100" w:type="dxa"/>
              <w:left w:w="100" w:type="dxa"/>
              <w:bottom w:w="100" w:type="dxa"/>
              <w:right w:w="100" w:type="dxa"/>
            </w:tcMar>
          </w:tcPr>
          <w:p w:rsidR="00796C24" w:rsidRDefault="00D81268">
            <w:pPr>
              <w:widowControl w:val="0"/>
              <w:spacing w:line="240" w:lineRule="auto"/>
            </w:pPr>
            <w:r>
              <w:rPr>
                <w:b/>
              </w:rPr>
              <w:t>Descriptive connection between SS and OSEU:</w:t>
            </w:r>
          </w:p>
        </w:tc>
      </w:tr>
      <w:tr w:rsidR="00796C24" w:rsidTr="00D81268">
        <w:tc>
          <w:tcPr>
            <w:tcW w:w="2350" w:type="dxa"/>
            <w:tcMar>
              <w:top w:w="100" w:type="dxa"/>
              <w:left w:w="100" w:type="dxa"/>
              <w:bottom w:w="100" w:type="dxa"/>
              <w:right w:w="100" w:type="dxa"/>
            </w:tcMar>
          </w:tcPr>
          <w:p w:rsidR="00796C24" w:rsidRDefault="00D81268">
            <w:pPr>
              <w:widowControl w:val="0"/>
              <w:spacing w:line="240" w:lineRule="auto"/>
            </w:pPr>
            <w:r>
              <w:rPr>
                <w:b/>
              </w:rPr>
              <w:t xml:space="preserve">ESSENTIAL UNDERSTANDING 6 </w:t>
            </w:r>
            <w:r>
              <w:t xml:space="preserve">Federal policies and treaties put into place throughout American history have affected Oceti Sakowin people adversely. Tribes as sovereign nations have the authority to enter into government to government relationships. Currently, the relationships with the State are not the same for each tribe. </w:t>
            </w:r>
          </w:p>
          <w:p w:rsidR="00796C24" w:rsidRDefault="00D81268">
            <w:pPr>
              <w:widowControl w:val="0"/>
              <w:spacing w:line="240" w:lineRule="auto"/>
            </w:pPr>
            <w:r>
              <w:rPr>
                <w:b/>
              </w:rPr>
              <w:t>Indicator five:</w:t>
            </w:r>
            <w:r>
              <w:t xml:space="preserve"> Analyze the historical development and contemporary roles of commerce, tribal economics and tribal infrastructure.</w:t>
            </w:r>
            <w:r>
              <w:rPr>
                <w:b/>
              </w:rPr>
              <w:t xml:space="preserve"> </w:t>
            </w:r>
          </w:p>
        </w:tc>
        <w:tc>
          <w:tcPr>
            <w:tcW w:w="7010" w:type="dxa"/>
            <w:tcMar>
              <w:top w:w="100" w:type="dxa"/>
              <w:left w:w="100" w:type="dxa"/>
              <w:bottom w:w="100" w:type="dxa"/>
              <w:right w:w="100" w:type="dxa"/>
            </w:tcMar>
          </w:tcPr>
          <w:p w:rsidR="00796C24" w:rsidRDefault="00D81268">
            <w:pPr>
              <w:widowControl w:val="0"/>
              <w:spacing w:line="240" w:lineRule="auto"/>
            </w:pPr>
            <w:r>
              <w:t xml:space="preserve">Standard:  Students are able to formulate the importance of cultural beliefs to the Oceti Sakowin. </w:t>
            </w:r>
          </w:p>
          <w:p w:rsidR="00796C24" w:rsidRDefault="00796C24">
            <w:pPr>
              <w:widowControl w:val="0"/>
              <w:spacing w:line="240" w:lineRule="auto"/>
            </w:pPr>
          </w:p>
          <w:p w:rsidR="00796C24" w:rsidRDefault="00D81268">
            <w:pPr>
              <w:widowControl w:val="0"/>
              <w:spacing w:line="240" w:lineRule="auto"/>
            </w:pPr>
            <w:r>
              <w:rPr>
                <w:b/>
              </w:rPr>
              <w:t xml:space="preserve">Descriptive connection:  </w:t>
            </w:r>
          </w:p>
          <w:p w:rsidR="00796C24" w:rsidRDefault="00D81268">
            <w:pPr>
              <w:widowControl w:val="0"/>
              <w:spacing w:line="240" w:lineRule="auto"/>
            </w:pPr>
            <w:r>
              <w:t>The students will be able to list the systems of politics, economics, societal expectations within the reservations and explain the influence of human migration related to the reservations by hypothesizing how various types of economic systems differ from one another, along with the forms of government and social structure within the reservations.</w:t>
            </w:r>
          </w:p>
        </w:tc>
      </w:tr>
    </w:tbl>
    <w:p w:rsidR="00796C24" w:rsidRDefault="00796C24"/>
    <w:sectPr w:rsidR="00796C24">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C22" w:rsidRDefault="00595C22" w:rsidP="00595C22">
      <w:pPr>
        <w:spacing w:line="240" w:lineRule="auto"/>
      </w:pPr>
      <w:r>
        <w:separator/>
      </w:r>
    </w:p>
  </w:endnote>
  <w:endnote w:type="continuationSeparator" w:id="0">
    <w:p w:rsidR="00595C22" w:rsidRDefault="00595C22" w:rsidP="00595C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C22" w:rsidRDefault="00595C22" w:rsidP="00595C22">
      <w:pPr>
        <w:spacing w:line="240" w:lineRule="auto"/>
      </w:pPr>
      <w:r>
        <w:separator/>
      </w:r>
    </w:p>
  </w:footnote>
  <w:footnote w:type="continuationSeparator" w:id="0">
    <w:p w:rsidR="00595C22" w:rsidRDefault="00595C22" w:rsidP="00595C2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C22" w:rsidRDefault="00595C22" w:rsidP="00595C22">
    <w:pPr>
      <w:jc w:val="center"/>
    </w:pPr>
    <w:r>
      <w:rPr>
        <w:b/>
        <w:sz w:val="24"/>
        <w:szCs w:val="24"/>
      </w:rPr>
      <w:t>SD Social Studies State Standards Disaggregated Template</w:t>
    </w:r>
  </w:p>
  <w:p w:rsidR="00595C22" w:rsidRDefault="00595C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A07FC"/>
    <w:multiLevelType w:val="multilevel"/>
    <w:tmpl w:val="0FA6C47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3C973FCC"/>
    <w:multiLevelType w:val="multilevel"/>
    <w:tmpl w:val="499C604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96C24"/>
    <w:rsid w:val="000C61D2"/>
    <w:rsid w:val="00595C22"/>
    <w:rsid w:val="00796C24"/>
    <w:rsid w:val="00D81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595C22"/>
    <w:pPr>
      <w:tabs>
        <w:tab w:val="center" w:pos="4680"/>
        <w:tab w:val="right" w:pos="9360"/>
      </w:tabs>
      <w:spacing w:line="240" w:lineRule="auto"/>
    </w:pPr>
  </w:style>
  <w:style w:type="character" w:customStyle="1" w:styleId="HeaderChar">
    <w:name w:val="Header Char"/>
    <w:basedOn w:val="DefaultParagraphFont"/>
    <w:link w:val="Header"/>
    <w:uiPriority w:val="99"/>
    <w:rsid w:val="00595C22"/>
  </w:style>
  <w:style w:type="paragraph" w:styleId="Footer">
    <w:name w:val="footer"/>
    <w:basedOn w:val="Normal"/>
    <w:link w:val="FooterChar"/>
    <w:uiPriority w:val="99"/>
    <w:unhideWhenUsed/>
    <w:rsid w:val="00595C22"/>
    <w:pPr>
      <w:tabs>
        <w:tab w:val="center" w:pos="4680"/>
        <w:tab w:val="right" w:pos="9360"/>
      </w:tabs>
      <w:spacing w:line="240" w:lineRule="auto"/>
    </w:pPr>
  </w:style>
  <w:style w:type="character" w:customStyle="1" w:styleId="FooterChar">
    <w:name w:val="Footer Char"/>
    <w:basedOn w:val="DefaultParagraphFont"/>
    <w:link w:val="Footer"/>
    <w:uiPriority w:val="99"/>
    <w:rsid w:val="00595C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595C22"/>
    <w:pPr>
      <w:tabs>
        <w:tab w:val="center" w:pos="4680"/>
        <w:tab w:val="right" w:pos="9360"/>
      </w:tabs>
      <w:spacing w:line="240" w:lineRule="auto"/>
    </w:pPr>
  </w:style>
  <w:style w:type="character" w:customStyle="1" w:styleId="HeaderChar">
    <w:name w:val="Header Char"/>
    <w:basedOn w:val="DefaultParagraphFont"/>
    <w:link w:val="Header"/>
    <w:uiPriority w:val="99"/>
    <w:rsid w:val="00595C22"/>
  </w:style>
  <w:style w:type="paragraph" w:styleId="Footer">
    <w:name w:val="footer"/>
    <w:basedOn w:val="Normal"/>
    <w:link w:val="FooterChar"/>
    <w:uiPriority w:val="99"/>
    <w:unhideWhenUsed/>
    <w:rsid w:val="00595C22"/>
    <w:pPr>
      <w:tabs>
        <w:tab w:val="center" w:pos="4680"/>
        <w:tab w:val="right" w:pos="9360"/>
      </w:tabs>
      <w:spacing w:line="240" w:lineRule="auto"/>
    </w:pPr>
  </w:style>
  <w:style w:type="character" w:customStyle="1" w:styleId="FooterChar">
    <w:name w:val="Footer Char"/>
    <w:basedOn w:val="DefaultParagraphFont"/>
    <w:link w:val="Footer"/>
    <w:uiPriority w:val="99"/>
    <w:rsid w:val="00595C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2794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3</cp:revision>
  <dcterms:created xsi:type="dcterms:W3CDTF">2015-10-01T14:42:00Z</dcterms:created>
  <dcterms:modified xsi:type="dcterms:W3CDTF">2015-10-05T16:35:00Z</dcterms:modified>
</cp:coreProperties>
</file>