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2B1AF8" w:rsidTr="002B1AF8">
        <w:tc>
          <w:tcPr>
            <w:tcW w:w="1630" w:type="dxa"/>
            <w:shd w:val="clear" w:color="auto" w:fill="92CDDC" w:themeFill="accent5" w:themeFillTint="99"/>
            <w:tcMar>
              <w:top w:w="100" w:type="dxa"/>
              <w:left w:w="100" w:type="dxa"/>
              <w:bottom w:w="100" w:type="dxa"/>
              <w:right w:w="100" w:type="dxa"/>
            </w:tcMar>
          </w:tcPr>
          <w:p w:rsidR="002B1AF8" w:rsidRDefault="002B1AF8" w:rsidP="00791767">
            <w:pPr>
              <w:widowControl w:val="0"/>
              <w:spacing w:line="240" w:lineRule="auto"/>
            </w:pPr>
            <w:bookmarkStart w:id="0" w:name="_GoBack"/>
            <w:bookmarkEnd w:id="0"/>
            <w:r>
              <w:rPr>
                <w:b/>
              </w:rPr>
              <w:t>Grade Level:</w:t>
            </w:r>
          </w:p>
        </w:tc>
        <w:tc>
          <w:tcPr>
            <w:tcW w:w="7740" w:type="dxa"/>
            <w:tcMar>
              <w:top w:w="100" w:type="dxa"/>
              <w:left w:w="100" w:type="dxa"/>
              <w:bottom w:w="100" w:type="dxa"/>
              <w:right w:w="100" w:type="dxa"/>
            </w:tcMar>
          </w:tcPr>
          <w:p w:rsidR="002B1AF8" w:rsidRDefault="002B1AF8" w:rsidP="00791767">
            <w:pPr>
              <w:widowControl w:val="0"/>
              <w:spacing w:line="240" w:lineRule="auto"/>
            </w:pPr>
            <w:r>
              <w:t>High School</w:t>
            </w:r>
          </w:p>
        </w:tc>
      </w:tr>
      <w:tr w:rsidR="002B1AF8" w:rsidTr="002B1AF8">
        <w:tc>
          <w:tcPr>
            <w:tcW w:w="1630" w:type="dxa"/>
            <w:shd w:val="clear" w:color="auto" w:fill="92CDDC" w:themeFill="accent5" w:themeFillTint="99"/>
            <w:tcMar>
              <w:top w:w="100" w:type="dxa"/>
              <w:left w:w="100" w:type="dxa"/>
              <w:bottom w:w="100" w:type="dxa"/>
              <w:right w:w="100" w:type="dxa"/>
            </w:tcMar>
          </w:tcPr>
          <w:p w:rsidR="002B1AF8" w:rsidRDefault="00691E82" w:rsidP="009D42BE">
            <w:pPr>
              <w:widowControl w:val="0"/>
              <w:spacing w:line="240" w:lineRule="auto"/>
            </w:pPr>
            <w:r>
              <w:rPr>
                <w:b/>
              </w:rPr>
              <w:t>Subject</w:t>
            </w:r>
            <w:r w:rsidR="002B1AF8">
              <w:rPr>
                <w:b/>
              </w:rPr>
              <w:t>:</w:t>
            </w:r>
          </w:p>
        </w:tc>
        <w:tc>
          <w:tcPr>
            <w:tcW w:w="7740" w:type="dxa"/>
            <w:tcMar>
              <w:top w:w="100" w:type="dxa"/>
              <w:left w:w="100" w:type="dxa"/>
              <w:bottom w:w="100" w:type="dxa"/>
              <w:right w:w="100" w:type="dxa"/>
            </w:tcMar>
          </w:tcPr>
          <w:p w:rsidR="002B1AF8" w:rsidRDefault="00691E82" w:rsidP="00791767">
            <w:pPr>
              <w:widowControl w:val="0"/>
              <w:spacing w:line="240" w:lineRule="auto"/>
            </w:pPr>
            <w:r>
              <w:t>Geography</w:t>
            </w:r>
          </w:p>
        </w:tc>
      </w:tr>
      <w:tr w:rsidR="002B1AF8" w:rsidTr="002B1AF8">
        <w:tc>
          <w:tcPr>
            <w:tcW w:w="1630" w:type="dxa"/>
            <w:shd w:val="clear" w:color="auto" w:fill="92CDDC" w:themeFill="accent5" w:themeFillTint="99"/>
            <w:tcMar>
              <w:top w:w="100" w:type="dxa"/>
              <w:left w:w="100" w:type="dxa"/>
              <w:bottom w:w="100" w:type="dxa"/>
              <w:right w:w="100" w:type="dxa"/>
            </w:tcMar>
          </w:tcPr>
          <w:p w:rsidR="002B1AF8" w:rsidRDefault="002B1AF8" w:rsidP="00791767">
            <w:pPr>
              <w:widowControl w:val="0"/>
              <w:spacing w:line="240" w:lineRule="auto"/>
            </w:pPr>
            <w:r>
              <w:rPr>
                <w:b/>
              </w:rPr>
              <w:t>K-12 Anchor Standard:</w:t>
            </w:r>
          </w:p>
        </w:tc>
        <w:tc>
          <w:tcPr>
            <w:tcW w:w="7740" w:type="dxa"/>
            <w:tcMar>
              <w:top w:w="100" w:type="dxa"/>
              <w:left w:w="100" w:type="dxa"/>
              <w:bottom w:w="100" w:type="dxa"/>
              <w:right w:w="100" w:type="dxa"/>
            </w:tcMar>
          </w:tcPr>
          <w:p w:rsidR="002B1AF8" w:rsidRDefault="002B1AF8" w:rsidP="002B1AF8">
            <w:pPr>
              <w:widowControl w:val="0"/>
              <w:spacing w:line="240" w:lineRule="auto"/>
            </w:pPr>
            <w:r w:rsidRPr="009D42BE">
              <w:t>G.7</w:t>
            </w:r>
            <w:r>
              <w:t xml:space="preserve"> Students will apply geographic knowledge to understand the diversity of Earth’s physical and human conditions, past, present, and future.</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2B1AF8" w:rsidTr="002B1AF8">
        <w:tc>
          <w:tcPr>
            <w:tcW w:w="1630" w:type="dxa"/>
            <w:shd w:val="clear" w:color="auto" w:fill="92CDDC" w:themeFill="accent5" w:themeFillTint="99"/>
            <w:tcMar>
              <w:top w:w="100" w:type="dxa"/>
              <w:left w:w="100" w:type="dxa"/>
              <w:bottom w:w="100" w:type="dxa"/>
              <w:right w:w="100" w:type="dxa"/>
            </w:tcMar>
            <w:vAlign w:val="center"/>
          </w:tcPr>
          <w:p w:rsidR="002B1AF8" w:rsidRDefault="002B1AF8" w:rsidP="002B1AF8">
            <w:pPr>
              <w:widowControl w:val="0"/>
              <w:spacing w:line="240" w:lineRule="auto"/>
            </w:pPr>
            <w:r>
              <w:rPr>
                <w:b/>
              </w:rPr>
              <w:t>Grade-Level Standards:</w:t>
            </w:r>
          </w:p>
        </w:tc>
        <w:tc>
          <w:tcPr>
            <w:tcW w:w="7730" w:type="dxa"/>
            <w:shd w:val="clear" w:color="auto" w:fill="auto"/>
            <w:vAlign w:val="center"/>
          </w:tcPr>
          <w:p w:rsidR="002B1AF8" w:rsidRPr="009D42BE" w:rsidRDefault="002B1AF8" w:rsidP="002B1AF8">
            <w:pPr>
              <w:widowControl w:val="0"/>
              <w:spacing w:line="240" w:lineRule="auto"/>
              <w:rPr>
                <w:b/>
              </w:rPr>
            </w:pPr>
            <w:r w:rsidRPr="009D42BE">
              <w:rPr>
                <w:b/>
              </w:rPr>
              <w:t>9-12.G.7.3 Critique the role of multiple perspectives in contemporary geographic policies and issues.</w:t>
            </w:r>
          </w:p>
        </w:tc>
      </w:tr>
    </w:tbl>
    <w:p w:rsidR="00B34840" w:rsidRDefault="00B34840"/>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34840" w:rsidTr="002B1AF8">
        <w:tc>
          <w:tcPr>
            <w:tcW w:w="9360" w:type="dxa"/>
            <w:shd w:val="clear" w:color="auto" w:fill="92CDDC" w:themeFill="accent5" w:themeFillTint="99"/>
            <w:tcMar>
              <w:top w:w="100" w:type="dxa"/>
              <w:left w:w="100" w:type="dxa"/>
              <w:bottom w:w="100" w:type="dxa"/>
              <w:right w:w="100" w:type="dxa"/>
            </w:tcMar>
          </w:tcPr>
          <w:p w:rsidR="00B34840" w:rsidRDefault="002B1AF8">
            <w:pPr>
              <w:widowControl w:val="0"/>
              <w:spacing w:line="240" w:lineRule="auto"/>
              <w:jc w:val="center"/>
            </w:pPr>
            <w:r>
              <w:rPr>
                <w:b/>
              </w:rPr>
              <w:t>Student Friendly Language:</w:t>
            </w:r>
          </w:p>
        </w:tc>
      </w:tr>
      <w:tr w:rsidR="00B34840">
        <w:tc>
          <w:tcPr>
            <w:tcW w:w="9360" w:type="dxa"/>
            <w:tcMar>
              <w:top w:w="100" w:type="dxa"/>
              <w:left w:w="100" w:type="dxa"/>
              <w:bottom w:w="100" w:type="dxa"/>
              <w:right w:w="100" w:type="dxa"/>
            </w:tcMar>
          </w:tcPr>
          <w:p w:rsidR="00B34840" w:rsidRDefault="002B1AF8">
            <w:pPr>
              <w:widowControl w:val="0"/>
              <w:spacing w:after="160" w:line="240" w:lineRule="auto"/>
            </w:pPr>
            <w:r>
              <w:t>I can determine how counter arguments impact the effectiveness of environmental policy.</w:t>
            </w:r>
          </w:p>
        </w:tc>
      </w:tr>
    </w:tbl>
    <w:p w:rsidR="00B34840" w:rsidRDefault="00B34840" w:rsidP="002B1AF8">
      <w:pPr>
        <w:shd w:val="clear" w:color="auto" w:fill="FFFFFF" w:themeFill="background1"/>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B34840" w:rsidTr="002B1AF8">
        <w:tc>
          <w:tcPr>
            <w:tcW w:w="3120" w:type="dxa"/>
            <w:shd w:val="clear" w:color="auto" w:fill="92CDDC" w:themeFill="accent5" w:themeFillTint="99"/>
            <w:tcMar>
              <w:top w:w="100" w:type="dxa"/>
              <w:left w:w="100" w:type="dxa"/>
              <w:bottom w:w="100" w:type="dxa"/>
              <w:right w:w="100" w:type="dxa"/>
            </w:tcMar>
          </w:tcPr>
          <w:p w:rsidR="00B34840" w:rsidRDefault="002B1AF8" w:rsidP="002B1AF8">
            <w:pPr>
              <w:widowControl w:val="0"/>
              <w:shd w:val="clear" w:color="auto" w:fill="92CDDC" w:themeFill="accent5" w:themeFillTint="99"/>
              <w:spacing w:line="240" w:lineRule="auto"/>
              <w:jc w:val="center"/>
            </w:pPr>
            <w:r>
              <w:rPr>
                <w:b/>
              </w:rPr>
              <w:t>Know</w:t>
            </w:r>
          </w:p>
          <w:p w:rsidR="00B34840" w:rsidRDefault="002B1AF8" w:rsidP="002B1AF8">
            <w:pPr>
              <w:widowControl w:val="0"/>
              <w:shd w:val="clear" w:color="auto" w:fill="92CDDC" w:themeFill="accent5" w:themeFillTint="99"/>
              <w:spacing w:line="240" w:lineRule="auto"/>
              <w:jc w:val="center"/>
            </w:pPr>
            <w:r>
              <w:t>(Factual)</w:t>
            </w:r>
          </w:p>
        </w:tc>
        <w:tc>
          <w:tcPr>
            <w:tcW w:w="3120" w:type="dxa"/>
            <w:shd w:val="clear" w:color="auto" w:fill="92CDDC" w:themeFill="accent5" w:themeFillTint="99"/>
            <w:tcMar>
              <w:top w:w="100" w:type="dxa"/>
              <w:left w:w="100" w:type="dxa"/>
              <w:bottom w:w="100" w:type="dxa"/>
              <w:right w:w="100" w:type="dxa"/>
            </w:tcMar>
          </w:tcPr>
          <w:p w:rsidR="00B34840" w:rsidRDefault="002B1AF8" w:rsidP="002B1AF8">
            <w:pPr>
              <w:widowControl w:val="0"/>
              <w:shd w:val="clear" w:color="auto" w:fill="92CDDC" w:themeFill="accent5" w:themeFillTint="99"/>
              <w:spacing w:line="240" w:lineRule="auto"/>
              <w:jc w:val="center"/>
            </w:pPr>
            <w:r>
              <w:rPr>
                <w:b/>
              </w:rPr>
              <w:t>Understand</w:t>
            </w:r>
          </w:p>
          <w:p w:rsidR="00B34840" w:rsidRDefault="002B1AF8" w:rsidP="002B1AF8">
            <w:pPr>
              <w:widowControl w:val="0"/>
              <w:shd w:val="clear" w:color="auto" w:fill="92CDDC" w:themeFill="accent5" w:themeFillTint="99"/>
              <w:spacing w:line="240" w:lineRule="auto"/>
              <w:jc w:val="center"/>
            </w:pPr>
            <w:r>
              <w:t>(Conceptual)</w:t>
            </w:r>
          </w:p>
          <w:p w:rsidR="00B34840" w:rsidRDefault="002B1AF8" w:rsidP="002B1AF8">
            <w:pPr>
              <w:widowControl w:val="0"/>
              <w:shd w:val="clear" w:color="auto" w:fill="92CDDC" w:themeFill="accent5" w:themeFillTint="99"/>
              <w:spacing w:line="240" w:lineRule="auto"/>
              <w:jc w:val="center"/>
            </w:pPr>
            <w:r>
              <w:t>The students will understand that:</w:t>
            </w:r>
          </w:p>
        </w:tc>
        <w:tc>
          <w:tcPr>
            <w:tcW w:w="3120" w:type="dxa"/>
            <w:shd w:val="clear" w:color="auto" w:fill="92CDDC" w:themeFill="accent5" w:themeFillTint="99"/>
            <w:tcMar>
              <w:top w:w="100" w:type="dxa"/>
              <w:left w:w="100" w:type="dxa"/>
              <w:bottom w:w="100" w:type="dxa"/>
              <w:right w:w="100" w:type="dxa"/>
            </w:tcMar>
          </w:tcPr>
          <w:p w:rsidR="00B34840" w:rsidRDefault="002B1AF8" w:rsidP="002B1AF8">
            <w:pPr>
              <w:widowControl w:val="0"/>
              <w:shd w:val="clear" w:color="auto" w:fill="92CDDC" w:themeFill="accent5" w:themeFillTint="99"/>
              <w:spacing w:line="240" w:lineRule="auto"/>
              <w:jc w:val="center"/>
            </w:pPr>
            <w:r>
              <w:rPr>
                <w:b/>
              </w:rPr>
              <w:t>Do</w:t>
            </w:r>
          </w:p>
          <w:p w:rsidR="00B34840" w:rsidRDefault="002B1AF8" w:rsidP="002B1AF8">
            <w:pPr>
              <w:widowControl w:val="0"/>
              <w:shd w:val="clear" w:color="auto" w:fill="92CDDC" w:themeFill="accent5" w:themeFillTint="99"/>
              <w:spacing w:line="240" w:lineRule="auto"/>
              <w:jc w:val="center"/>
            </w:pPr>
            <w:r>
              <w:t>(Procedural, Application, Extended Thinking)</w:t>
            </w:r>
          </w:p>
        </w:tc>
      </w:tr>
      <w:tr w:rsidR="00B34840">
        <w:tc>
          <w:tcPr>
            <w:tcW w:w="3120" w:type="dxa"/>
            <w:tcMar>
              <w:top w:w="100" w:type="dxa"/>
              <w:left w:w="100" w:type="dxa"/>
              <w:bottom w:w="100" w:type="dxa"/>
              <w:right w:w="100" w:type="dxa"/>
            </w:tcMar>
          </w:tcPr>
          <w:p w:rsidR="00B34840" w:rsidRDefault="002B1AF8">
            <w:pPr>
              <w:widowControl w:val="0"/>
              <w:numPr>
                <w:ilvl w:val="0"/>
                <w:numId w:val="1"/>
              </w:numPr>
              <w:spacing w:after="160" w:line="240" w:lineRule="auto"/>
              <w:ind w:hanging="360"/>
              <w:contextualSpacing/>
            </w:pPr>
            <w:r>
              <w:t>multiple perspectives on a single issue</w:t>
            </w:r>
          </w:p>
          <w:p w:rsidR="00B34840" w:rsidRDefault="002B1AF8">
            <w:pPr>
              <w:widowControl w:val="0"/>
              <w:numPr>
                <w:ilvl w:val="0"/>
                <w:numId w:val="1"/>
              </w:numPr>
              <w:spacing w:after="160" w:line="240" w:lineRule="auto"/>
              <w:ind w:hanging="360"/>
              <w:contextualSpacing/>
            </w:pPr>
            <w:r>
              <w:t>how varying perspectives are valued</w:t>
            </w:r>
          </w:p>
          <w:p w:rsidR="00B34840" w:rsidRDefault="002B1AF8">
            <w:pPr>
              <w:widowControl w:val="0"/>
              <w:numPr>
                <w:ilvl w:val="0"/>
                <w:numId w:val="1"/>
              </w:numPr>
              <w:spacing w:after="160" w:line="240" w:lineRule="auto"/>
              <w:ind w:hanging="360"/>
              <w:contextualSpacing/>
            </w:pPr>
            <w:r>
              <w:t>criteria of an informed perspective</w:t>
            </w:r>
          </w:p>
          <w:p w:rsidR="00B34840" w:rsidRDefault="002B1AF8">
            <w:pPr>
              <w:widowControl w:val="0"/>
              <w:numPr>
                <w:ilvl w:val="0"/>
                <w:numId w:val="1"/>
              </w:numPr>
              <w:spacing w:after="160" w:line="240" w:lineRule="auto"/>
              <w:ind w:hanging="360"/>
              <w:contextualSpacing/>
            </w:pPr>
            <w:r>
              <w:t>how different perspectives impact environmental policies</w:t>
            </w:r>
          </w:p>
          <w:p w:rsidR="00B34840" w:rsidRDefault="00B34840">
            <w:pPr>
              <w:widowControl w:val="0"/>
              <w:spacing w:line="240" w:lineRule="auto"/>
            </w:pPr>
          </w:p>
        </w:tc>
        <w:tc>
          <w:tcPr>
            <w:tcW w:w="3120" w:type="dxa"/>
            <w:tcMar>
              <w:top w:w="100" w:type="dxa"/>
              <w:left w:w="100" w:type="dxa"/>
              <w:bottom w:w="100" w:type="dxa"/>
              <w:right w:w="100" w:type="dxa"/>
            </w:tcMar>
          </w:tcPr>
          <w:p w:rsidR="00B34840" w:rsidRDefault="002B1AF8">
            <w:pPr>
              <w:widowControl w:val="0"/>
              <w:spacing w:after="160" w:line="240" w:lineRule="auto"/>
            </w:pPr>
            <w:r>
              <w:t>Multiple perspectives on environmental policy can adversely impact the policy’s effectiveness in addressing environmental needs.</w:t>
            </w:r>
          </w:p>
          <w:p w:rsidR="00B34840" w:rsidRDefault="002B1AF8">
            <w:pPr>
              <w:widowControl w:val="0"/>
              <w:spacing w:after="160" w:line="240" w:lineRule="auto"/>
            </w:pPr>
            <w:r>
              <w:t>An informed perspective relies on a consideration of various criteria and the appropriate evaluation sources.</w:t>
            </w:r>
          </w:p>
          <w:p w:rsidR="00B34840" w:rsidRDefault="00B34840">
            <w:pPr>
              <w:widowControl w:val="0"/>
              <w:spacing w:after="160" w:line="240" w:lineRule="auto"/>
            </w:pPr>
          </w:p>
        </w:tc>
        <w:tc>
          <w:tcPr>
            <w:tcW w:w="3120" w:type="dxa"/>
            <w:tcMar>
              <w:top w:w="100" w:type="dxa"/>
              <w:left w:w="100" w:type="dxa"/>
              <w:bottom w:w="100" w:type="dxa"/>
              <w:right w:w="100" w:type="dxa"/>
            </w:tcMar>
          </w:tcPr>
          <w:p w:rsidR="00B34840" w:rsidRDefault="002B1AF8">
            <w:pPr>
              <w:widowControl w:val="0"/>
              <w:spacing w:after="160" w:line="240" w:lineRule="auto"/>
            </w:pPr>
            <w:r>
              <w:t>Assess the viability of an argument on a global issue.</w:t>
            </w:r>
          </w:p>
          <w:p w:rsidR="00B34840" w:rsidRDefault="002B1AF8">
            <w:pPr>
              <w:widowControl w:val="0"/>
              <w:spacing w:after="160" w:line="240" w:lineRule="auto"/>
            </w:pPr>
            <w:r>
              <w:t>Examine how uninformed perspectives have impacted real world policy.</w:t>
            </w:r>
          </w:p>
          <w:p w:rsidR="00B34840" w:rsidRDefault="002B1AF8">
            <w:pPr>
              <w:widowControl w:val="0"/>
              <w:spacing w:after="160" w:line="240" w:lineRule="auto"/>
            </w:pPr>
            <w:r>
              <w:t>Determine the criteria related to an informed perspective on environmental issues.</w:t>
            </w:r>
          </w:p>
          <w:p w:rsidR="00B34840" w:rsidRDefault="002B1AF8">
            <w:pPr>
              <w:widowControl w:val="0"/>
              <w:spacing w:after="160" w:line="240" w:lineRule="auto"/>
            </w:pPr>
            <w:r>
              <w:t xml:space="preserve"> </w:t>
            </w:r>
          </w:p>
        </w:tc>
      </w:tr>
    </w:tbl>
    <w:p w:rsidR="00B34840" w:rsidRDefault="00B34840"/>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B34840" w:rsidTr="002B1AF8">
        <w:trPr>
          <w:gridAfter w:val="1"/>
          <w:wAfter w:w="10" w:type="dxa"/>
          <w:trHeight w:val="420"/>
        </w:trPr>
        <w:tc>
          <w:tcPr>
            <w:tcW w:w="9360" w:type="dxa"/>
            <w:shd w:val="clear" w:color="auto" w:fill="92CDDC" w:themeFill="accent5" w:themeFillTint="99"/>
            <w:tcMar>
              <w:top w:w="100" w:type="dxa"/>
              <w:left w:w="100" w:type="dxa"/>
              <w:bottom w:w="100" w:type="dxa"/>
              <w:right w:w="100" w:type="dxa"/>
            </w:tcMar>
          </w:tcPr>
          <w:p w:rsidR="00B34840" w:rsidRDefault="002B1AF8">
            <w:pPr>
              <w:widowControl w:val="0"/>
              <w:spacing w:line="240" w:lineRule="auto"/>
              <w:jc w:val="center"/>
            </w:pPr>
            <w:r>
              <w:rPr>
                <w:b/>
              </w:rPr>
              <w:t>C3 Framework Relevant Skills and Applications:</w:t>
            </w:r>
          </w:p>
        </w:tc>
      </w:tr>
      <w:tr w:rsidR="002B1AF8" w:rsidRPr="002B1AF8" w:rsidTr="002B1AF8">
        <w:tc>
          <w:tcPr>
            <w:tcW w:w="9370" w:type="dxa"/>
            <w:gridSpan w:val="2"/>
            <w:tcMar>
              <w:top w:w="100" w:type="dxa"/>
              <w:left w:w="100" w:type="dxa"/>
              <w:bottom w:w="100" w:type="dxa"/>
              <w:right w:w="100" w:type="dxa"/>
            </w:tcMar>
          </w:tcPr>
          <w:p w:rsidR="002B1AF8" w:rsidRPr="002B1AF8" w:rsidRDefault="002B1AF8">
            <w:pPr>
              <w:widowControl w:val="0"/>
              <w:spacing w:line="240" w:lineRule="auto"/>
              <w:rPr>
                <w:u w:val="single"/>
              </w:rPr>
            </w:pPr>
            <w:r w:rsidRPr="002B1AF8">
              <w:rPr>
                <w:b/>
                <w:u w:val="single"/>
              </w:rPr>
              <w:t>Determining Helpful Resources:</w:t>
            </w:r>
          </w:p>
          <w:p w:rsidR="002B1AF8" w:rsidRPr="002B1AF8" w:rsidRDefault="002B1AF8">
            <w:pPr>
              <w:widowControl w:val="0"/>
              <w:spacing w:line="240" w:lineRule="auto"/>
            </w:pPr>
            <w:r w:rsidRPr="002B1AF8">
              <w:rPr>
                <w:b/>
              </w:rPr>
              <w:t>D1.5.K-2</w:t>
            </w:r>
            <w:r w:rsidRPr="002B1AF8">
              <w:t>. Determine the kinds of sources that will be helpful in answering compelling and supporting questions, taking into consideration multiple points of view represented in the sources, the types of sources available, and the potential uses of the sources.</w:t>
            </w:r>
          </w:p>
          <w:p w:rsidR="002B1AF8" w:rsidRPr="002B1AF8" w:rsidRDefault="002B1AF8" w:rsidP="002B1AF8">
            <w:pPr>
              <w:widowControl w:val="0"/>
              <w:spacing w:line="240" w:lineRule="auto"/>
              <w:rPr>
                <w:u w:val="single"/>
              </w:rPr>
            </w:pPr>
            <w:r w:rsidRPr="002B1AF8">
              <w:rPr>
                <w:b/>
                <w:u w:val="single"/>
              </w:rPr>
              <w:t>Developing Claims and Using Evidence:</w:t>
            </w:r>
          </w:p>
          <w:p w:rsidR="002B1AF8" w:rsidRPr="002B1AF8" w:rsidRDefault="002B1AF8" w:rsidP="002B1AF8">
            <w:pPr>
              <w:widowControl w:val="0"/>
              <w:spacing w:line="240" w:lineRule="auto"/>
            </w:pPr>
            <w:r w:rsidRPr="002B1AF8">
              <w:rPr>
                <w:b/>
              </w:rPr>
              <w:t>D3.3.9-12</w:t>
            </w:r>
            <w:r w:rsidRPr="002B1AF8">
              <w:t>. Identify evidence that draws information directly and substantively from the multiple sources to detect inconsistencies in evidence in order to revise or strengthen claims.</w:t>
            </w:r>
          </w:p>
          <w:p w:rsidR="002B1AF8" w:rsidRPr="002B1AF8" w:rsidRDefault="002B1AF8" w:rsidP="002B1AF8">
            <w:pPr>
              <w:widowControl w:val="0"/>
              <w:spacing w:line="240" w:lineRule="auto"/>
              <w:rPr>
                <w:u w:val="single"/>
              </w:rPr>
            </w:pPr>
            <w:r w:rsidRPr="002B1AF8">
              <w:rPr>
                <w:b/>
                <w:u w:val="single"/>
              </w:rPr>
              <w:t>Taking informed action:</w:t>
            </w:r>
          </w:p>
          <w:p w:rsidR="002B1AF8" w:rsidRPr="002B1AF8" w:rsidRDefault="002B1AF8" w:rsidP="002B1AF8">
            <w:pPr>
              <w:widowControl w:val="0"/>
              <w:spacing w:line="240" w:lineRule="auto"/>
            </w:pPr>
            <w:r w:rsidRPr="002B1AF8">
              <w:rPr>
                <w:b/>
              </w:rPr>
              <w:t>D4.8.9-12</w:t>
            </w:r>
            <w:r w:rsidRPr="002B1AF8">
              <w:t>. Apply a range of deliberative and democratic strategies and procedures to make decisions and take action in their classrooms, schools, and out of school civic contexts.</w:t>
            </w:r>
          </w:p>
        </w:tc>
      </w:tr>
    </w:tbl>
    <w:p w:rsidR="00B34840" w:rsidRDefault="00B34840"/>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0"/>
        <w:gridCol w:w="6920"/>
      </w:tblGrid>
      <w:tr w:rsidR="00B34840" w:rsidTr="002B1AF8">
        <w:trPr>
          <w:trHeight w:val="420"/>
        </w:trPr>
        <w:tc>
          <w:tcPr>
            <w:tcW w:w="9360" w:type="dxa"/>
            <w:gridSpan w:val="2"/>
            <w:shd w:val="clear" w:color="auto" w:fill="92CDDC" w:themeFill="accent5" w:themeFillTint="99"/>
            <w:tcMar>
              <w:top w:w="100" w:type="dxa"/>
              <w:left w:w="100" w:type="dxa"/>
              <w:bottom w:w="100" w:type="dxa"/>
              <w:right w:w="100" w:type="dxa"/>
            </w:tcMar>
          </w:tcPr>
          <w:p w:rsidR="00B34840" w:rsidRDefault="002B1AF8">
            <w:pPr>
              <w:widowControl w:val="0"/>
              <w:spacing w:line="240" w:lineRule="auto"/>
              <w:jc w:val="center"/>
            </w:pPr>
            <w:r>
              <w:rPr>
                <w:b/>
              </w:rPr>
              <w:lastRenderedPageBreak/>
              <w:t>Oceti Sakowin Essential Understandings:</w:t>
            </w:r>
          </w:p>
        </w:tc>
      </w:tr>
      <w:tr w:rsidR="00B34840" w:rsidTr="002B1AF8">
        <w:tc>
          <w:tcPr>
            <w:tcW w:w="2440" w:type="dxa"/>
            <w:tcMar>
              <w:top w:w="100" w:type="dxa"/>
              <w:left w:w="100" w:type="dxa"/>
              <w:bottom w:w="100" w:type="dxa"/>
              <w:right w:w="100" w:type="dxa"/>
            </w:tcMar>
          </w:tcPr>
          <w:p w:rsidR="00B34840" w:rsidRDefault="002B1AF8">
            <w:pPr>
              <w:widowControl w:val="0"/>
              <w:spacing w:line="240" w:lineRule="auto"/>
            </w:pPr>
            <w:r>
              <w:rPr>
                <w:b/>
              </w:rPr>
              <w:t>Essential Understanding:</w:t>
            </w:r>
          </w:p>
        </w:tc>
        <w:tc>
          <w:tcPr>
            <w:tcW w:w="6920" w:type="dxa"/>
            <w:tcMar>
              <w:top w:w="100" w:type="dxa"/>
              <w:left w:w="100" w:type="dxa"/>
              <w:bottom w:w="100" w:type="dxa"/>
              <w:right w:w="100" w:type="dxa"/>
            </w:tcMar>
          </w:tcPr>
          <w:p w:rsidR="00B34840" w:rsidRDefault="002B1AF8">
            <w:pPr>
              <w:widowControl w:val="0"/>
              <w:spacing w:line="240" w:lineRule="auto"/>
            </w:pPr>
            <w:r>
              <w:rPr>
                <w:b/>
              </w:rPr>
              <w:t>Descriptive connection between SS and OSEU:</w:t>
            </w:r>
          </w:p>
        </w:tc>
      </w:tr>
      <w:tr w:rsidR="00B34840" w:rsidTr="002B1AF8">
        <w:tc>
          <w:tcPr>
            <w:tcW w:w="2440" w:type="dxa"/>
            <w:tcMar>
              <w:top w:w="100" w:type="dxa"/>
              <w:left w:w="100" w:type="dxa"/>
              <w:bottom w:w="100" w:type="dxa"/>
              <w:right w:w="100" w:type="dxa"/>
            </w:tcMar>
          </w:tcPr>
          <w:p w:rsidR="00B34840" w:rsidRDefault="00B34840">
            <w:pPr>
              <w:widowControl w:val="0"/>
              <w:spacing w:line="240" w:lineRule="auto"/>
            </w:pPr>
          </w:p>
        </w:tc>
        <w:tc>
          <w:tcPr>
            <w:tcW w:w="6920" w:type="dxa"/>
            <w:tcMar>
              <w:top w:w="100" w:type="dxa"/>
              <w:left w:w="100" w:type="dxa"/>
              <w:bottom w:w="100" w:type="dxa"/>
              <w:right w:w="100" w:type="dxa"/>
            </w:tcMar>
          </w:tcPr>
          <w:p w:rsidR="00B34840" w:rsidRDefault="00B34840">
            <w:pPr>
              <w:widowControl w:val="0"/>
              <w:spacing w:line="240" w:lineRule="auto"/>
            </w:pPr>
          </w:p>
        </w:tc>
      </w:tr>
    </w:tbl>
    <w:p w:rsidR="00B34840" w:rsidRDefault="00B34840"/>
    <w:sectPr w:rsidR="00B34840">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AF8" w:rsidRDefault="002B1AF8" w:rsidP="002B1AF8">
      <w:pPr>
        <w:spacing w:line="240" w:lineRule="auto"/>
      </w:pPr>
      <w:r>
        <w:separator/>
      </w:r>
    </w:p>
  </w:endnote>
  <w:endnote w:type="continuationSeparator" w:id="0">
    <w:p w:rsidR="002B1AF8" w:rsidRDefault="002B1AF8" w:rsidP="002B1A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AF8" w:rsidRDefault="002B1AF8" w:rsidP="002B1AF8">
      <w:pPr>
        <w:spacing w:line="240" w:lineRule="auto"/>
      </w:pPr>
      <w:r>
        <w:separator/>
      </w:r>
    </w:p>
  </w:footnote>
  <w:footnote w:type="continuationSeparator" w:id="0">
    <w:p w:rsidR="002B1AF8" w:rsidRDefault="002B1AF8" w:rsidP="002B1AF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AF8" w:rsidRDefault="002B1AF8" w:rsidP="002B1AF8">
    <w:pPr>
      <w:jc w:val="center"/>
    </w:pPr>
    <w:r>
      <w:rPr>
        <w:b/>
        <w:sz w:val="24"/>
        <w:szCs w:val="24"/>
      </w:rPr>
      <w:t>SD Social Studies State Standards Disaggregated Template</w:t>
    </w:r>
  </w:p>
  <w:p w:rsidR="002B1AF8" w:rsidRDefault="002B1A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C7F75"/>
    <w:multiLevelType w:val="multilevel"/>
    <w:tmpl w:val="F3DA72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34840"/>
    <w:rsid w:val="002B1AF8"/>
    <w:rsid w:val="00691E82"/>
    <w:rsid w:val="009D42BE"/>
    <w:rsid w:val="00B34840"/>
    <w:rsid w:val="00E10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2B1AF8"/>
    <w:pPr>
      <w:tabs>
        <w:tab w:val="center" w:pos="4680"/>
        <w:tab w:val="right" w:pos="9360"/>
      </w:tabs>
      <w:spacing w:line="240" w:lineRule="auto"/>
    </w:pPr>
  </w:style>
  <w:style w:type="character" w:customStyle="1" w:styleId="HeaderChar">
    <w:name w:val="Header Char"/>
    <w:basedOn w:val="DefaultParagraphFont"/>
    <w:link w:val="Header"/>
    <w:uiPriority w:val="99"/>
    <w:rsid w:val="002B1AF8"/>
  </w:style>
  <w:style w:type="paragraph" w:styleId="Footer">
    <w:name w:val="footer"/>
    <w:basedOn w:val="Normal"/>
    <w:link w:val="FooterChar"/>
    <w:uiPriority w:val="99"/>
    <w:unhideWhenUsed/>
    <w:rsid w:val="002B1AF8"/>
    <w:pPr>
      <w:tabs>
        <w:tab w:val="center" w:pos="4680"/>
        <w:tab w:val="right" w:pos="9360"/>
      </w:tabs>
      <w:spacing w:line="240" w:lineRule="auto"/>
    </w:pPr>
  </w:style>
  <w:style w:type="character" w:customStyle="1" w:styleId="FooterChar">
    <w:name w:val="Footer Char"/>
    <w:basedOn w:val="DefaultParagraphFont"/>
    <w:link w:val="Footer"/>
    <w:uiPriority w:val="99"/>
    <w:rsid w:val="002B1A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2B1AF8"/>
    <w:pPr>
      <w:tabs>
        <w:tab w:val="center" w:pos="4680"/>
        <w:tab w:val="right" w:pos="9360"/>
      </w:tabs>
      <w:spacing w:line="240" w:lineRule="auto"/>
    </w:pPr>
  </w:style>
  <w:style w:type="character" w:customStyle="1" w:styleId="HeaderChar">
    <w:name w:val="Header Char"/>
    <w:basedOn w:val="DefaultParagraphFont"/>
    <w:link w:val="Header"/>
    <w:uiPriority w:val="99"/>
    <w:rsid w:val="002B1AF8"/>
  </w:style>
  <w:style w:type="paragraph" w:styleId="Footer">
    <w:name w:val="footer"/>
    <w:basedOn w:val="Normal"/>
    <w:link w:val="FooterChar"/>
    <w:uiPriority w:val="99"/>
    <w:unhideWhenUsed/>
    <w:rsid w:val="002B1AF8"/>
    <w:pPr>
      <w:tabs>
        <w:tab w:val="center" w:pos="4680"/>
        <w:tab w:val="right" w:pos="9360"/>
      </w:tabs>
      <w:spacing w:line="240" w:lineRule="auto"/>
    </w:pPr>
  </w:style>
  <w:style w:type="character" w:customStyle="1" w:styleId="FooterChar">
    <w:name w:val="Footer Char"/>
    <w:basedOn w:val="DefaultParagraphFont"/>
    <w:link w:val="Footer"/>
    <w:uiPriority w:val="99"/>
    <w:rsid w:val="002B1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55524">
      <w:bodyDiv w:val="1"/>
      <w:marLeft w:val="0"/>
      <w:marRight w:val="0"/>
      <w:marTop w:val="0"/>
      <w:marBottom w:val="0"/>
      <w:divBdr>
        <w:top w:val="none" w:sz="0" w:space="0" w:color="auto"/>
        <w:left w:val="none" w:sz="0" w:space="0" w:color="auto"/>
        <w:bottom w:val="none" w:sz="0" w:space="0" w:color="auto"/>
        <w:right w:val="none" w:sz="0" w:space="0" w:color="auto"/>
      </w:divBdr>
      <w:divsChild>
        <w:div w:id="12700477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310</Words>
  <Characters>1773</Characters>
  <Application>Microsoft Office Word</Application>
  <DocSecurity>0</DocSecurity>
  <Lines>14</Lines>
  <Paragraphs>4</Paragraphs>
  <ScaleCrop>false</ScaleCrop>
  <Company>State of South Dakota</Company>
  <LinksUpToDate>false</LinksUpToDate>
  <CharactersWithSpaces>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5</cp:revision>
  <dcterms:created xsi:type="dcterms:W3CDTF">2015-10-01T16:29:00Z</dcterms:created>
  <dcterms:modified xsi:type="dcterms:W3CDTF">2015-10-07T19:44:00Z</dcterms:modified>
</cp:coreProperties>
</file>