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5874FD" w:rsidTr="00A50254">
        <w:tc>
          <w:tcPr>
            <w:tcW w:w="1630" w:type="dxa"/>
            <w:shd w:val="clear" w:color="auto" w:fill="FFC000"/>
            <w:tcMar>
              <w:top w:w="100" w:type="dxa"/>
              <w:left w:w="100" w:type="dxa"/>
              <w:bottom w:w="100" w:type="dxa"/>
              <w:right w:w="100" w:type="dxa"/>
            </w:tcMar>
          </w:tcPr>
          <w:p w:rsidR="005874FD" w:rsidRDefault="005874FD" w:rsidP="005E543A">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5874FD" w:rsidRDefault="005874FD" w:rsidP="005E543A">
            <w:pPr>
              <w:widowControl w:val="0"/>
              <w:spacing w:line="240" w:lineRule="auto"/>
            </w:pPr>
            <w:r>
              <w:t>High School</w:t>
            </w:r>
          </w:p>
        </w:tc>
      </w:tr>
      <w:tr w:rsidR="005874FD" w:rsidTr="00A50254">
        <w:tc>
          <w:tcPr>
            <w:tcW w:w="1630" w:type="dxa"/>
            <w:shd w:val="clear" w:color="auto" w:fill="FFC000"/>
            <w:tcMar>
              <w:top w:w="100" w:type="dxa"/>
              <w:left w:w="100" w:type="dxa"/>
              <w:bottom w:w="100" w:type="dxa"/>
              <w:right w:w="100" w:type="dxa"/>
            </w:tcMar>
          </w:tcPr>
          <w:p w:rsidR="005874FD" w:rsidRDefault="005874FD" w:rsidP="005E543A">
            <w:pPr>
              <w:widowControl w:val="0"/>
              <w:spacing w:line="240" w:lineRule="auto"/>
            </w:pPr>
            <w:r>
              <w:rPr>
                <w:b/>
              </w:rPr>
              <w:t>Subject:</w:t>
            </w:r>
          </w:p>
        </w:tc>
        <w:tc>
          <w:tcPr>
            <w:tcW w:w="7740" w:type="dxa"/>
            <w:tcMar>
              <w:top w:w="100" w:type="dxa"/>
              <w:left w:w="100" w:type="dxa"/>
              <w:bottom w:w="100" w:type="dxa"/>
              <w:right w:w="100" w:type="dxa"/>
            </w:tcMar>
          </w:tcPr>
          <w:p w:rsidR="005874FD" w:rsidRDefault="005874FD" w:rsidP="005E543A">
            <w:pPr>
              <w:widowControl w:val="0"/>
              <w:spacing w:line="240" w:lineRule="auto"/>
            </w:pPr>
            <w:r>
              <w:t>World History</w:t>
            </w:r>
          </w:p>
        </w:tc>
      </w:tr>
      <w:tr w:rsidR="005874FD" w:rsidTr="00A50254">
        <w:tc>
          <w:tcPr>
            <w:tcW w:w="1630" w:type="dxa"/>
            <w:shd w:val="clear" w:color="auto" w:fill="FFC000"/>
            <w:tcMar>
              <w:top w:w="100" w:type="dxa"/>
              <w:left w:w="100" w:type="dxa"/>
              <w:bottom w:w="100" w:type="dxa"/>
              <w:right w:w="100" w:type="dxa"/>
            </w:tcMar>
          </w:tcPr>
          <w:p w:rsidR="005874FD" w:rsidRDefault="005874FD" w:rsidP="005E543A">
            <w:pPr>
              <w:widowControl w:val="0"/>
              <w:spacing w:line="240" w:lineRule="auto"/>
            </w:pPr>
            <w:r>
              <w:rPr>
                <w:b/>
              </w:rPr>
              <w:t>K-12 Anchor Standard:</w:t>
            </w:r>
          </w:p>
        </w:tc>
        <w:tc>
          <w:tcPr>
            <w:tcW w:w="7740" w:type="dxa"/>
            <w:tcMar>
              <w:top w:w="100" w:type="dxa"/>
              <w:left w:w="100" w:type="dxa"/>
              <w:bottom w:w="100" w:type="dxa"/>
              <w:right w:w="100" w:type="dxa"/>
            </w:tcMar>
          </w:tcPr>
          <w:p w:rsidR="005874FD" w:rsidRDefault="005874FD" w:rsidP="005E543A">
            <w:pPr>
              <w:widowControl w:val="0"/>
              <w:spacing w:line="240" w:lineRule="auto"/>
            </w:pPr>
            <w:r w:rsidRPr="00594596">
              <w:t>H.1</w:t>
            </w:r>
            <w:r>
              <w:t xml:space="preserve"> Students will analyze how major events are chronologically connected and evaluate their impact on one another.</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5874FD" w:rsidTr="00A50254">
        <w:tc>
          <w:tcPr>
            <w:tcW w:w="1630" w:type="dxa"/>
            <w:shd w:val="clear" w:color="auto" w:fill="FFC000"/>
            <w:tcMar>
              <w:top w:w="100" w:type="dxa"/>
              <w:left w:w="100" w:type="dxa"/>
              <w:bottom w:w="100" w:type="dxa"/>
              <w:right w:w="100" w:type="dxa"/>
            </w:tcMar>
            <w:vAlign w:val="center"/>
          </w:tcPr>
          <w:p w:rsidR="005874FD" w:rsidRDefault="005874FD" w:rsidP="005874FD">
            <w:pPr>
              <w:widowControl w:val="0"/>
              <w:spacing w:line="240" w:lineRule="auto"/>
            </w:pPr>
            <w:r>
              <w:rPr>
                <w:b/>
              </w:rPr>
              <w:t>Grade-Level Standards:</w:t>
            </w:r>
          </w:p>
        </w:tc>
        <w:tc>
          <w:tcPr>
            <w:tcW w:w="7730" w:type="dxa"/>
            <w:shd w:val="clear" w:color="auto" w:fill="auto"/>
            <w:vAlign w:val="center"/>
          </w:tcPr>
          <w:p w:rsidR="005874FD" w:rsidRPr="00594596" w:rsidRDefault="005874FD" w:rsidP="005874FD">
            <w:pPr>
              <w:widowControl w:val="0"/>
              <w:spacing w:line="240" w:lineRule="auto"/>
              <w:rPr>
                <w:b/>
              </w:rPr>
            </w:pPr>
            <w:r w:rsidRPr="00594596">
              <w:rPr>
                <w:b/>
              </w:rPr>
              <w:t>9-12.H.1.1 Distinguish between long-term causes and triggering events in the development and events of the Renaissance and Reformation.</w:t>
            </w:r>
          </w:p>
        </w:tc>
      </w:tr>
    </w:tbl>
    <w:p w:rsidR="009D4C47" w:rsidRDefault="009D4C47"/>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D4C47" w:rsidTr="00A50254">
        <w:tc>
          <w:tcPr>
            <w:tcW w:w="9360" w:type="dxa"/>
            <w:shd w:val="clear" w:color="auto" w:fill="FFC000"/>
            <w:tcMar>
              <w:top w:w="100" w:type="dxa"/>
              <w:left w:w="100" w:type="dxa"/>
              <w:bottom w:w="100" w:type="dxa"/>
              <w:right w:w="100" w:type="dxa"/>
            </w:tcMar>
          </w:tcPr>
          <w:p w:rsidR="009D4C47" w:rsidRDefault="00B13699">
            <w:pPr>
              <w:widowControl w:val="0"/>
              <w:spacing w:line="240" w:lineRule="auto"/>
              <w:jc w:val="center"/>
            </w:pPr>
            <w:r>
              <w:rPr>
                <w:b/>
              </w:rPr>
              <w:t>Student Friendly Language:</w:t>
            </w:r>
          </w:p>
        </w:tc>
      </w:tr>
      <w:tr w:rsidR="009D4C47">
        <w:tc>
          <w:tcPr>
            <w:tcW w:w="9360" w:type="dxa"/>
            <w:tcMar>
              <w:top w:w="100" w:type="dxa"/>
              <w:left w:w="100" w:type="dxa"/>
              <w:bottom w:w="100" w:type="dxa"/>
              <w:right w:w="100" w:type="dxa"/>
            </w:tcMar>
          </w:tcPr>
          <w:p w:rsidR="009D4C47" w:rsidRDefault="00B13699">
            <w:pPr>
              <w:widowControl w:val="0"/>
              <w:spacing w:line="240" w:lineRule="auto"/>
            </w:pPr>
            <w:r>
              <w:t>I can identify long-term causes and the triggering events of the Renaissance and Reformation and understand the difference between them.</w:t>
            </w:r>
          </w:p>
        </w:tc>
      </w:tr>
    </w:tbl>
    <w:p w:rsidR="009D4C47" w:rsidRDefault="009D4C47"/>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D4C47" w:rsidTr="00A50254">
        <w:tc>
          <w:tcPr>
            <w:tcW w:w="3120" w:type="dxa"/>
            <w:shd w:val="clear" w:color="auto" w:fill="FFC000"/>
            <w:tcMar>
              <w:top w:w="100" w:type="dxa"/>
              <w:left w:w="100" w:type="dxa"/>
              <w:bottom w:w="100" w:type="dxa"/>
              <w:right w:w="100" w:type="dxa"/>
            </w:tcMar>
          </w:tcPr>
          <w:p w:rsidR="009D4C47" w:rsidRDefault="00B13699">
            <w:pPr>
              <w:widowControl w:val="0"/>
              <w:spacing w:line="240" w:lineRule="auto"/>
              <w:jc w:val="center"/>
            </w:pPr>
            <w:r>
              <w:rPr>
                <w:b/>
              </w:rPr>
              <w:t>Know</w:t>
            </w:r>
          </w:p>
          <w:p w:rsidR="009D4C47" w:rsidRDefault="00B13699">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9D4C47" w:rsidRDefault="00B13699">
            <w:pPr>
              <w:widowControl w:val="0"/>
              <w:spacing w:line="240" w:lineRule="auto"/>
              <w:jc w:val="center"/>
            </w:pPr>
            <w:r>
              <w:rPr>
                <w:b/>
              </w:rPr>
              <w:t>Understand</w:t>
            </w:r>
          </w:p>
          <w:p w:rsidR="009D4C47" w:rsidRDefault="00B13699">
            <w:pPr>
              <w:widowControl w:val="0"/>
              <w:spacing w:line="240" w:lineRule="auto"/>
              <w:jc w:val="center"/>
            </w:pPr>
            <w:r>
              <w:t>(Conceptual)</w:t>
            </w:r>
          </w:p>
          <w:p w:rsidR="009D4C47" w:rsidRDefault="00B13699">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9D4C47" w:rsidRDefault="00B13699">
            <w:pPr>
              <w:widowControl w:val="0"/>
              <w:spacing w:line="240" w:lineRule="auto"/>
              <w:jc w:val="center"/>
            </w:pPr>
            <w:r>
              <w:rPr>
                <w:b/>
              </w:rPr>
              <w:t>Do</w:t>
            </w:r>
          </w:p>
          <w:p w:rsidR="009D4C47" w:rsidRDefault="00B13699">
            <w:pPr>
              <w:widowControl w:val="0"/>
              <w:spacing w:line="240" w:lineRule="auto"/>
              <w:jc w:val="center"/>
            </w:pPr>
            <w:r>
              <w:t>(Procedural, Application, Extended Thinking)</w:t>
            </w:r>
          </w:p>
        </w:tc>
      </w:tr>
      <w:tr w:rsidR="009D4C47">
        <w:tc>
          <w:tcPr>
            <w:tcW w:w="3120" w:type="dxa"/>
            <w:tcMar>
              <w:top w:w="100" w:type="dxa"/>
              <w:left w:w="100" w:type="dxa"/>
              <w:bottom w:w="100" w:type="dxa"/>
              <w:right w:w="100" w:type="dxa"/>
            </w:tcMar>
          </w:tcPr>
          <w:p w:rsidR="009D4C47" w:rsidRDefault="00B13699">
            <w:pPr>
              <w:widowControl w:val="0"/>
              <w:numPr>
                <w:ilvl w:val="0"/>
                <w:numId w:val="1"/>
              </w:numPr>
              <w:spacing w:line="240" w:lineRule="auto"/>
              <w:ind w:hanging="360"/>
              <w:contextualSpacing/>
            </w:pPr>
            <w:r>
              <w:t>Renaissance Artists, Writers and Philosophers</w:t>
            </w:r>
          </w:p>
          <w:p w:rsidR="009D4C47" w:rsidRDefault="00B13699">
            <w:pPr>
              <w:widowControl w:val="0"/>
              <w:numPr>
                <w:ilvl w:val="0"/>
                <w:numId w:val="1"/>
              </w:numPr>
              <w:spacing w:line="240" w:lineRule="auto"/>
              <w:ind w:hanging="360"/>
              <w:contextualSpacing/>
            </w:pPr>
            <w:r>
              <w:t>Reformationists (e.g. Martin Luther, John Calvin, Henry VIII, etc</w:t>
            </w:r>
            <w:r w:rsidR="005874FD">
              <w:t>.</w:t>
            </w:r>
            <w:r>
              <w:t>)</w:t>
            </w:r>
          </w:p>
          <w:p w:rsidR="009D4C47" w:rsidRDefault="00B13699">
            <w:pPr>
              <w:widowControl w:val="0"/>
              <w:numPr>
                <w:ilvl w:val="0"/>
                <w:numId w:val="1"/>
              </w:numPr>
              <w:spacing w:line="240" w:lineRule="auto"/>
              <w:ind w:hanging="360"/>
              <w:contextualSpacing/>
            </w:pPr>
            <w:r>
              <w:t>Long-term developmental effects (e.g. Rise of wealth, City-States, Church abuses, etc</w:t>
            </w:r>
            <w:r w:rsidR="005874FD">
              <w:t>.</w:t>
            </w:r>
            <w:r>
              <w:t>)</w:t>
            </w:r>
          </w:p>
          <w:p w:rsidR="009D4C47" w:rsidRDefault="00B13699">
            <w:pPr>
              <w:widowControl w:val="0"/>
              <w:numPr>
                <w:ilvl w:val="0"/>
                <w:numId w:val="1"/>
              </w:numPr>
              <w:spacing w:line="240" w:lineRule="auto"/>
              <w:ind w:hanging="360"/>
              <w:contextualSpacing/>
            </w:pPr>
            <w:r>
              <w:t xml:space="preserve">Triggering </w:t>
            </w:r>
            <w:r w:rsidR="00E8144E">
              <w:t>causes</w:t>
            </w:r>
            <w:r>
              <w:t xml:space="preserve"> (e.g. Printing Press, Indulgences, Humanism, etc</w:t>
            </w:r>
            <w:r w:rsidR="005874FD">
              <w:t>.</w:t>
            </w:r>
            <w:r>
              <w:t>)</w:t>
            </w:r>
          </w:p>
        </w:tc>
        <w:tc>
          <w:tcPr>
            <w:tcW w:w="3120" w:type="dxa"/>
            <w:tcMar>
              <w:top w:w="100" w:type="dxa"/>
              <w:left w:w="100" w:type="dxa"/>
              <w:bottom w:w="100" w:type="dxa"/>
              <w:right w:w="100" w:type="dxa"/>
            </w:tcMar>
          </w:tcPr>
          <w:p w:rsidR="009D4C47" w:rsidRDefault="00B13699">
            <w:pPr>
              <w:widowControl w:val="0"/>
              <w:spacing w:line="240" w:lineRule="auto"/>
            </w:pPr>
            <w:r>
              <w:t>Long- and short-term effects contribute to how historical events unfold.</w:t>
            </w:r>
          </w:p>
          <w:p w:rsidR="009D4C47" w:rsidRDefault="009D4C47">
            <w:pPr>
              <w:widowControl w:val="0"/>
              <w:spacing w:line="240" w:lineRule="auto"/>
            </w:pPr>
          </w:p>
          <w:p w:rsidR="009D4C47" w:rsidRDefault="00B13699">
            <w:pPr>
              <w:widowControl w:val="0"/>
              <w:spacing w:line="240" w:lineRule="auto"/>
            </w:pPr>
            <w:r>
              <w:t>Coincidence, causation and correlation are distinct and require evidence to support.</w:t>
            </w:r>
          </w:p>
          <w:p w:rsidR="009D4C47" w:rsidRDefault="009D4C47">
            <w:pPr>
              <w:widowControl w:val="0"/>
              <w:spacing w:line="240" w:lineRule="auto"/>
            </w:pPr>
          </w:p>
          <w:p w:rsidR="009D4C47" w:rsidRDefault="00B13699">
            <w:pPr>
              <w:widowControl w:val="0"/>
              <w:spacing w:line="240" w:lineRule="auto"/>
            </w:pPr>
            <w:r>
              <w:t>Interpretation of long- and short-term effects change overtime.</w:t>
            </w:r>
          </w:p>
          <w:p w:rsidR="009D4C47" w:rsidRDefault="009D4C47">
            <w:pPr>
              <w:widowControl w:val="0"/>
              <w:spacing w:line="240" w:lineRule="auto"/>
            </w:pPr>
          </w:p>
          <w:p w:rsidR="009D4C47" w:rsidRDefault="00B13699">
            <w:pPr>
              <w:widowControl w:val="0"/>
              <w:spacing w:line="240" w:lineRule="auto"/>
            </w:pPr>
            <w:r>
              <w:t>Renaissance and Reformation ideals had lasting impacts on the Western world.</w:t>
            </w:r>
          </w:p>
          <w:p w:rsidR="009D4C47" w:rsidRDefault="009D4C47">
            <w:pPr>
              <w:widowControl w:val="0"/>
              <w:spacing w:line="240" w:lineRule="auto"/>
            </w:pPr>
          </w:p>
          <w:p w:rsidR="009D4C47" w:rsidRDefault="009D4C47">
            <w:pPr>
              <w:widowControl w:val="0"/>
              <w:spacing w:line="240" w:lineRule="auto"/>
            </w:pPr>
          </w:p>
        </w:tc>
        <w:tc>
          <w:tcPr>
            <w:tcW w:w="3120" w:type="dxa"/>
            <w:tcMar>
              <w:top w:w="100" w:type="dxa"/>
              <w:left w:w="100" w:type="dxa"/>
              <w:bottom w:w="100" w:type="dxa"/>
              <w:right w:w="100" w:type="dxa"/>
            </w:tcMar>
          </w:tcPr>
          <w:p w:rsidR="009D4C47" w:rsidRDefault="00B13699">
            <w:pPr>
              <w:widowControl w:val="0"/>
              <w:spacing w:line="240" w:lineRule="auto"/>
            </w:pPr>
            <w:r>
              <w:t>Identify and describe important figures and events of the Renaissance and Reformation.</w:t>
            </w:r>
          </w:p>
          <w:p w:rsidR="009D4C47" w:rsidRDefault="009D4C47">
            <w:pPr>
              <w:widowControl w:val="0"/>
              <w:spacing w:line="240" w:lineRule="auto"/>
            </w:pPr>
          </w:p>
          <w:p w:rsidR="009D4C47" w:rsidRDefault="00B13699">
            <w:pPr>
              <w:widowControl w:val="0"/>
              <w:spacing w:line="240" w:lineRule="auto"/>
            </w:pPr>
            <w:r>
              <w:t>Differentiate between long- and short-term effects and events impacting the Renaissance and Reformation.</w:t>
            </w:r>
          </w:p>
          <w:p w:rsidR="009D4C47" w:rsidRDefault="009D4C47">
            <w:pPr>
              <w:widowControl w:val="0"/>
              <w:spacing w:line="240" w:lineRule="auto"/>
            </w:pPr>
          </w:p>
          <w:p w:rsidR="009D4C47" w:rsidRDefault="00B13699">
            <w:pPr>
              <w:widowControl w:val="0"/>
              <w:spacing w:line="240" w:lineRule="auto"/>
            </w:pPr>
            <w:r>
              <w:t>Compare causes/effects both short- and long-term.</w:t>
            </w:r>
          </w:p>
          <w:p w:rsidR="009D4C47" w:rsidRDefault="009D4C47">
            <w:pPr>
              <w:widowControl w:val="0"/>
              <w:spacing w:line="240" w:lineRule="auto"/>
            </w:pPr>
          </w:p>
          <w:p w:rsidR="009D4C47" w:rsidRDefault="00B13699">
            <w:pPr>
              <w:widowControl w:val="0"/>
              <w:spacing w:line="240" w:lineRule="auto"/>
            </w:pPr>
            <w:r>
              <w:t>Distinguish between coincidence, causation and correlation.</w:t>
            </w:r>
          </w:p>
          <w:p w:rsidR="009D4C47" w:rsidRDefault="009D4C47">
            <w:pPr>
              <w:widowControl w:val="0"/>
              <w:spacing w:line="240" w:lineRule="auto"/>
            </w:pPr>
          </w:p>
          <w:p w:rsidR="009D4C47" w:rsidRDefault="00B13699">
            <w:pPr>
              <w:widowControl w:val="0"/>
              <w:spacing w:line="240" w:lineRule="auto"/>
            </w:pPr>
            <w:r>
              <w:t>Critique existing interpretations of cause and effect on the Renaissance and Reformation.</w:t>
            </w:r>
          </w:p>
        </w:tc>
      </w:tr>
    </w:tbl>
    <w:p w:rsidR="00B13699" w:rsidRDefault="00B13699">
      <w:pPr>
        <w:sectPr w:rsidR="00B13699">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9D4C47" w:rsidTr="00A50254">
        <w:trPr>
          <w:gridAfter w:val="1"/>
          <w:wAfter w:w="10" w:type="dxa"/>
          <w:trHeight w:val="420"/>
        </w:trPr>
        <w:tc>
          <w:tcPr>
            <w:tcW w:w="9360" w:type="dxa"/>
            <w:shd w:val="clear" w:color="auto" w:fill="FFC000"/>
            <w:tcMar>
              <w:top w:w="100" w:type="dxa"/>
              <w:left w:w="100" w:type="dxa"/>
              <w:bottom w:w="100" w:type="dxa"/>
              <w:right w:w="100" w:type="dxa"/>
            </w:tcMar>
          </w:tcPr>
          <w:p w:rsidR="009D4C47" w:rsidRDefault="00B13699">
            <w:pPr>
              <w:widowControl w:val="0"/>
              <w:spacing w:line="240" w:lineRule="auto"/>
              <w:jc w:val="center"/>
            </w:pPr>
            <w:r>
              <w:rPr>
                <w:b/>
              </w:rPr>
              <w:lastRenderedPageBreak/>
              <w:t>C3 Framework Relevant Skills and Applications:</w:t>
            </w:r>
          </w:p>
        </w:tc>
      </w:tr>
      <w:tr w:rsidR="005874FD" w:rsidTr="005874FD">
        <w:tc>
          <w:tcPr>
            <w:tcW w:w="9370" w:type="dxa"/>
            <w:gridSpan w:val="2"/>
            <w:tcMar>
              <w:top w:w="100" w:type="dxa"/>
              <w:left w:w="100" w:type="dxa"/>
              <w:bottom w:w="100" w:type="dxa"/>
              <w:right w:w="100" w:type="dxa"/>
            </w:tcMar>
          </w:tcPr>
          <w:p w:rsidR="005874FD" w:rsidRPr="00B13699" w:rsidRDefault="005874FD">
            <w:pPr>
              <w:widowControl w:val="0"/>
              <w:spacing w:line="240" w:lineRule="auto"/>
              <w:rPr>
                <w:u w:val="single"/>
              </w:rPr>
            </w:pPr>
            <w:r w:rsidRPr="00B13699">
              <w:rPr>
                <w:b/>
                <w:u w:val="single"/>
              </w:rPr>
              <w:t>Constructing Compelling Questions</w:t>
            </w:r>
          </w:p>
          <w:p w:rsidR="005874FD" w:rsidRPr="00B13699" w:rsidRDefault="005874FD">
            <w:pPr>
              <w:widowControl w:val="0"/>
              <w:spacing w:line="240" w:lineRule="auto"/>
            </w:pPr>
            <w:r w:rsidRPr="00B13699">
              <w:rPr>
                <w:b/>
              </w:rPr>
              <w:t>D1.1.9-12</w:t>
            </w:r>
            <w:r w:rsidRPr="00B13699">
              <w:t>. Explain how a question reflects an enduring issue in the field.</w:t>
            </w:r>
          </w:p>
          <w:p w:rsidR="005874FD" w:rsidRPr="00B13699" w:rsidRDefault="005874FD">
            <w:pPr>
              <w:widowControl w:val="0"/>
              <w:spacing w:line="240" w:lineRule="auto"/>
            </w:pPr>
            <w:r w:rsidRPr="00B13699">
              <w:rPr>
                <w:b/>
              </w:rPr>
              <w:t xml:space="preserve">D1.4.9-12. </w:t>
            </w:r>
            <w:r w:rsidRPr="00B13699">
              <w:t>Explain how supporting questions contribute to an inquiry and how, through engaging source work, new compelling and supporting questions emerge.</w:t>
            </w:r>
          </w:p>
          <w:p w:rsidR="005874FD" w:rsidRPr="00B13699" w:rsidRDefault="005874FD">
            <w:pPr>
              <w:widowControl w:val="0"/>
              <w:spacing w:line="240" w:lineRule="auto"/>
              <w:rPr>
                <w:u w:val="single"/>
              </w:rPr>
            </w:pPr>
            <w:r w:rsidRPr="00B13699">
              <w:rPr>
                <w:b/>
                <w:u w:val="single"/>
              </w:rPr>
              <w:t>Determining Helpful Resources:</w:t>
            </w:r>
          </w:p>
          <w:p w:rsidR="005874FD" w:rsidRPr="00B13699" w:rsidRDefault="005874FD">
            <w:pPr>
              <w:widowControl w:val="0"/>
              <w:spacing w:line="240" w:lineRule="auto"/>
            </w:pPr>
            <w:r w:rsidRPr="00B13699">
              <w:rPr>
                <w:b/>
              </w:rPr>
              <w:t>D1.5.K-2</w:t>
            </w:r>
            <w:r w:rsidRPr="00B13699">
              <w:t>. Determine the kinds of sources that will be helpful in answering compelling and supporting questions, taking into consideration multiple points of view represented in the sources, the types of sources available, and the potential uses of the sources.</w:t>
            </w:r>
          </w:p>
          <w:p w:rsidR="005874FD" w:rsidRPr="00B13699" w:rsidRDefault="005874FD" w:rsidP="005874FD">
            <w:pPr>
              <w:widowControl w:val="0"/>
              <w:spacing w:line="240" w:lineRule="auto"/>
              <w:rPr>
                <w:u w:val="single"/>
              </w:rPr>
            </w:pPr>
            <w:r w:rsidRPr="00B13699">
              <w:rPr>
                <w:b/>
                <w:u w:val="single"/>
              </w:rPr>
              <w:t>Evaluating sources and using evidence:</w:t>
            </w:r>
          </w:p>
          <w:p w:rsidR="005874FD" w:rsidRPr="00B13699" w:rsidRDefault="005874FD" w:rsidP="005874FD">
            <w:pPr>
              <w:widowControl w:val="0"/>
              <w:spacing w:line="240" w:lineRule="auto"/>
            </w:pPr>
            <w:r w:rsidRPr="00B13699">
              <w:rPr>
                <w:b/>
              </w:rPr>
              <w:t>D3.1.9-12</w:t>
            </w:r>
            <w:r w:rsidRPr="00B13699">
              <w:t>. Gather relevant information from multiple sources representing a wide range of views while using the origin, authority, structure, context, and corroborative value of the sources to guide the selection.</w:t>
            </w:r>
          </w:p>
          <w:p w:rsidR="005874FD" w:rsidRPr="00B13699" w:rsidRDefault="005874FD" w:rsidP="005874FD">
            <w:pPr>
              <w:widowControl w:val="0"/>
              <w:spacing w:line="240" w:lineRule="auto"/>
              <w:rPr>
                <w:u w:val="single"/>
              </w:rPr>
            </w:pPr>
            <w:r w:rsidRPr="00B13699">
              <w:rPr>
                <w:b/>
                <w:u w:val="single"/>
              </w:rPr>
              <w:t>Developing Claims and Using Evidence:</w:t>
            </w:r>
          </w:p>
          <w:p w:rsidR="005874FD" w:rsidRPr="00B13699" w:rsidRDefault="005874FD" w:rsidP="005874FD">
            <w:pPr>
              <w:widowControl w:val="0"/>
              <w:spacing w:line="240" w:lineRule="auto"/>
            </w:pPr>
            <w:r w:rsidRPr="00B13699">
              <w:rPr>
                <w:b/>
              </w:rPr>
              <w:t>D3.3.9-12</w:t>
            </w:r>
            <w:r w:rsidRPr="00B13699">
              <w:t>. Identify evidence that draws information directly and substantively from the multiple sources to detect inconsistencies in evidence in order to revise or strengthen claims.</w:t>
            </w:r>
          </w:p>
          <w:p w:rsidR="00B13699" w:rsidRPr="00B13699" w:rsidRDefault="00B13699" w:rsidP="00B13699">
            <w:pPr>
              <w:widowControl w:val="0"/>
              <w:spacing w:line="240" w:lineRule="auto"/>
              <w:rPr>
                <w:u w:val="single"/>
              </w:rPr>
            </w:pPr>
            <w:r w:rsidRPr="00B13699">
              <w:rPr>
                <w:b/>
                <w:u w:val="single"/>
              </w:rPr>
              <w:t>Communicating conclusions:</w:t>
            </w:r>
          </w:p>
          <w:p w:rsidR="00B13699" w:rsidRPr="00B13699" w:rsidRDefault="00B13699" w:rsidP="00B13699">
            <w:pPr>
              <w:widowControl w:val="0"/>
              <w:spacing w:line="240" w:lineRule="auto"/>
            </w:pPr>
            <w:r w:rsidRPr="00B13699">
              <w:rPr>
                <w:b/>
              </w:rPr>
              <w:t>D4.2.9-12</w:t>
            </w:r>
            <w:r w:rsidRPr="00B13699">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5874FD" w:rsidRDefault="00B13699" w:rsidP="00B13699">
            <w:pPr>
              <w:widowControl w:val="0"/>
              <w:spacing w:line="240" w:lineRule="auto"/>
            </w:pPr>
            <w:r w:rsidRPr="00B13699">
              <w:rPr>
                <w:b/>
              </w:rPr>
              <w:t>D4.5.9-12</w:t>
            </w:r>
            <w:r w:rsidRPr="00B13699">
              <w:t>. Critique the use of the reasoning, sequencing, and supporting details of explanations.</w:t>
            </w:r>
          </w:p>
        </w:tc>
      </w:tr>
    </w:tbl>
    <w:p w:rsidR="009D4C47" w:rsidRDefault="009D4C47"/>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0"/>
        <w:gridCol w:w="7190"/>
      </w:tblGrid>
      <w:tr w:rsidR="009D4C47" w:rsidTr="00A50254">
        <w:trPr>
          <w:trHeight w:val="420"/>
        </w:trPr>
        <w:tc>
          <w:tcPr>
            <w:tcW w:w="9360" w:type="dxa"/>
            <w:gridSpan w:val="2"/>
            <w:shd w:val="clear" w:color="auto" w:fill="FFC000"/>
            <w:tcMar>
              <w:top w:w="100" w:type="dxa"/>
              <w:left w:w="100" w:type="dxa"/>
              <w:bottom w:w="100" w:type="dxa"/>
              <w:right w:w="100" w:type="dxa"/>
            </w:tcMar>
          </w:tcPr>
          <w:p w:rsidR="009D4C47" w:rsidRDefault="00B13699">
            <w:pPr>
              <w:widowControl w:val="0"/>
              <w:spacing w:line="240" w:lineRule="auto"/>
              <w:jc w:val="center"/>
            </w:pPr>
            <w:r>
              <w:rPr>
                <w:b/>
              </w:rPr>
              <w:t>Oceti Sakowin Essential Understandings:</w:t>
            </w:r>
          </w:p>
        </w:tc>
      </w:tr>
      <w:tr w:rsidR="009D4C47" w:rsidTr="00B13699">
        <w:tc>
          <w:tcPr>
            <w:tcW w:w="2170" w:type="dxa"/>
            <w:tcMar>
              <w:top w:w="100" w:type="dxa"/>
              <w:left w:w="100" w:type="dxa"/>
              <w:bottom w:w="100" w:type="dxa"/>
              <w:right w:w="100" w:type="dxa"/>
            </w:tcMar>
          </w:tcPr>
          <w:p w:rsidR="009D4C47" w:rsidRDefault="00B13699">
            <w:pPr>
              <w:widowControl w:val="0"/>
              <w:spacing w:line="240" w:lineRule="auto"/>
            </w:pPr>
            <w:r>
              <w:rPr>
                <w:b/>
              </w:rPr>
              <w:t>Essential Understanding:</w:t>
            </w:r>
          </w:p>
        </w:tc>
        <w:tc>
          <w:tcPr>
            <w:tcW w:w="7190" w:type="dxa"/>
            <w:tcMar>
              <w:top w:w="100" w:type="dxa"/>
              <w:left w:w="100" w:type="dxa"/>
              <w:bottom w:w="100" w:type="dxa"/>
              <w:right w:w="100" w:type="dxa"/>
            </w:tcMar>
          </w:tcPr>
          <w:p w:rsidR="009D4C47" w:rsidRDefault="00B13699">
            <w:pPr>
              <w:widowControl w:val="0"/>
              <w:spacing w:line="240" w:lineRule="auto"/>
            </w:pPr>
            <w:r>
              <w:rPr>
                <w:b/>
              </w:rPr>
              <w:t>Descriptive connection between SS and OSEU:</w:t>
            </w:r>
          </w:p>
        </w:tc>
      </w:tr>
      <w:tr w:rsidR="009D4C47" w:rsidTr="00B13699">
        <w:tc>
          <w:tcPr>
            <w:tcW w:w="2170" w:type="dxa"/>
            <w:tcMar>
              <w:top w:w="100" w:type="dxa"/>
              <w:left w:w="100" w:type="dxa"/>
              <w:bottom w:w="100" w:type="dxa"/>
              <w:right w:w="100" w:type="dxa"/>
            </w:tcMar>
          </w:tcPr>
          <w:p w:rsidR="009D4C47" w:rsidRDefault="009D4C47">
            <w:pPr>
              <w:widowControl w:val="0"/>
              <w:spacing w:line="240" w:lineRule="auto"/>
            </w:pPr>
          </w:p>
        </w:tc>
        <w:tc>
          <w:tcPr>
            <w:tcW w:w="7190" w:type="dxa"/>
            <w:tcMar>
              <w:top w:w="100" w:type="dxa"/>
              <w:left w:w="100" w:type="dxa"/>
              <w:bottom w:w="100" w:type="dxa"/>
              <w:right w:w="100" w:type="dxa"/>
            </w:tcMar>
          </w:tcPr>
          <w:p w:rsidR="009D4C47" w:rsidRDefault="009D4C47">
            <w:pPr>
              <w:widowControl w:val="0"/>
              <w:spacing w:line="240" w:lineRule="auto"/>
            </w:pPr>
          </w:p>
        </w:tc>
      </w:tr>
    </w:tbl>
    <w:p w:rsidR="009D4C47" w:rsidRDefault="009D4C47"/>
    <w:sectPr w:rsidR="009D4C4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4FD" w:rsidRDefault="005874FD" w:rsidP="005874FD">
      <w:pPr>
        <w:spacing w:line="240" w:lineRule="auto"/>
      </w:pPr>
      <w:r>
        <w:separator/>
      </w:r>
    </w:p>
  </w:endnote>
  <w:endnote w:type="continuationSeparator" w:id="0">
    <w:p w:rsidR="005874FD" w:rsidRDefault="005874FD" w:rsidP="005874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4FD" w:rsidRDefault="005874FD" w:rsidP="005874FD">
      <w:pPr>
        <w:spacing w:line="240" w:lineRule="auto"/>
      </w:pPr>
      <w:r>
        <w:separator/>
      </w:r>
    </w:p>
  </w:footnote>
  <w:footnote w:type="continuationSeparator" w:id="0">
    <w:p w:rsidR="005874FD" w:rsidRDefault="005874FD" w:rsidP="005874F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4FD" w:rsidRDefault="005874FD" w:rsidP="005874FD">
    <w:pPr>
      <w:jc w:val="center"/>
    </w:pPr>
    <w:r>
      <w:rPr>
        <w:b/>
        <w:sz w:val="24"/>
        <w:szCs w:val="24"/>
      </w:rPr>
      <w:t>SD Social Studies State Standards Disaggregated Template</w:t>
    </w:r>
  </w:p>
  <w:p w:rsidR="005874FD" w:rsidRDefault="005874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54CCE"/>
    <w:multiLevelType w:val="multilevel"/>
    <w:tmpl w:val="657A72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4C47"/>
    <w:rsid w:val="005874FD"/>
    <w:rsid w:val="00594596"/>
    <w:rsid w:val="009D4C47"/>
    <w:rsid w:val="00A50254"/>
    <w:rsid w:val="00B13699"/>
    <w:rsid w:val="00E81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874FD"/>
    <w:pPr>
      <w:tabs>
        <w:tab w:val="center" w:pos="4680"/>
        <w:tab w:val="right" w:pos="9360"/>
      </w:tabs>
      <w:spacing w:line="240" w:lineRule="auto"/>
    </w:pPr>
  </w:style>
  <w:style w:type="character" w:customStyle="1" w:styleId="HeaderChar">
    <w:name w:val="Header Char"/>
    <w:basedOn w:val="DefaultParagraphFont"/>
    <w:link w:val="Header"/>
    <w:uiPriority w:val="99"/>
    <w:rsid w:val="005874FD"/>
  </w:style>
  <w:style w:type="paragraph" w:styleId="Footer">
    <w:name w:val="footer"/>
    <w:basedOn w:val="Normal"/>
    <w:link w:val="FooterChar"/>
    <w:uiPriority w:val="99"/>
    <w:unhideWhenUsed/>
    <w:rsid w:val="005874FD"/>
    <w:pPr>
      <w:tabs>
        <w:tab w:val="center" w:pos="4680"/>
        <w:tab w:val="right" w:pos="9360"/>
      </w:tabs>
      <w:spacing w:line="240" w:lineRule="auto"/>
    </w:pPr>
  </w:style>
  <w:style w:type="character" w:customStyle="1" w:styleId="FooterChar">
    <w:name w:val="Footer Char"/>
    <w:basedOn w:val="DefaultParagraphFont"/>
    <w:link w:val="Footer"/>
    <w:uiPriority w:val="99"/>
    <w:rsid w:val="00587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874FD"/>
    <w:pPr>
      <w:tabs>
        <w:tab w:val="center" w:pos="4680"/>
        <w:tab w:val="right" w:pos="9360"/>
      </w:tabs>
      <w:spacing w:line="240" w:lineRule="auto"/>
    </w:pPr>
  </w:style>
  <w:style w:type="character" w:customStyle="1" w:styleId="HeaderChar">
    <w:name w:val="Header Char"/>
    <w:basedOn w:val="DefaultParagraphFont"/>
    <w:link w:val="Header"/>
    <w:uiPriority w:val="99"/>
    <w:rsid w:val="005874FD"/>
  </w:style>
  <w:style w:type="paragraph" w:styleId="Footer">
    <w:name w:val="footer"/>
    <w:basedOn w:val="Normal"/>
    <w:link w:val="FooterChar"/>
    <w:uiPriority w:val="99"/>
    <w:unhideWhenUsed/>
    <w:rsid w:val="005874FD"/>
    <w:pPr>
      <w:tabs>
        <w:tab w:val="center" w:pos="4680"/>
        <w:tab w:val="right" w:pos="9360"/>
      </w:tabs>
      <w:spacing w:line="240" w:lineRule="auto"/>
    </w:pPr>
  </w:style>
  <w:style w:type="character" w:customStyle="1" w:styleId="FooterChar">
    <w:name w:val="Footer Char"/>
    <w:basedOn w:val="DefaultParagraphFont"/>
    <w:link w:val="Footer"/>
    <w:uiPriority w:val="99"/>
    <w:rsid w:val="00587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A47B5-081B-4549-BE88-7E5F30A80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2015-10-01T16:46:00Z</dcterms:created>
  <dcterms:modified xsi:type="dcterms:W3CDTF">2015-10-07T19:43:00Z</dcterms:modified>
</cp:coreProperties>
</file>