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19A4" w:rsidRPr="002820A1" w:rsidRDefault="001119A4" w:rsidP="001119A4">
      <w:pPr>
        <w:rPr>
          <w:b/>
          <w:sz w:val="28"/>
        </w:rPr>
      </w:pPr>
      <w:r w:rsidRPr="006664C9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0B2E6E" wp14:editId="0901110C">
                <wp:simplePos x="0" y="0"/>
                <wp:positionH relativeFrom="margin">
                  <wp:posOffset>38100</wp:posOffset>
                </wp:positionH>
                <wp:positionV relativeFrom="margin">
                  <wp:posOffset>38100</wp:posOffset>
                </wp:positionV>
                <wp:extent cx="6762750" cy="654050"/>
                <wp:effectExtent l="19050" t="19050" r="19050" b="12700"/>
                <wp:wrapSquare wrapText="bothSides"/>
                <wp:docPr id="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9A4" w:rsidRPr="0073209E" w:rsidRDefault="001119A4" w:rsidP="001119A4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spacing w:after="0" w:line="240" w:lineRule="auto"/>
                              <w:ind w:left="-720" w:right="-907"/>
                              <w:contextualSpacing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3209E">
                              <w:rPr>
                                <w:b/>
                                <w:sz w:val="40"/>
                              </w:rPr>
                              <w:t xml:space="preserve">SDAP Help Sheet for </w:t>
                            </w:r>
                            <w:r>
                              <w:rPr>
                                <w:b/>
                                <w:sz w:val="40"/>
                              </w:rPr>
                              <w:t>Creating Items</w:t>
                            </w:r>
                          </w:p>
                          <w:p w:rsidR="001119A4" w:rsidRPr="00C81DA1" w:rsidRDefault="002A7B04" w:rsidP="001119A4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spacing w:after="0" w:line="240" w:lineRule="auto"/>
                              <w:ind w:left="-720" w:right="-907"/>
                              <w:contextualSpacing/>
                              <w:jc w:val="center"/>
                              <w:rPr>
                                <w:u w:val="single"/>
                              </w:rPr>
                            </w:pPr>
                            <w:hyperlink r:id="rId9" w:history="1">
                              <w:r w:rsidR="001119A4" w:rsidRPr="009432E3">
                                <w:rPr>
                                  <w:rStyle w:val="Hyperlink"/>
                                </w:rPr>
                                <w:t>https://sdap.emetric.net/Portal/</w:t>
                              </w:r>
                            </w:hyperlink>
                            <w:r w:rsidR="001119A4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="001119A4" w:rsidRPr="00C81DA1">
                              <w:rPr>
                                <w:rStyle w:val="Hyperlink"/>
                                <w:color w:val="auto"/>
                                <w:sz w:val="20"/>
                              </w:rPr>
                              <w:t xml:space="preserve">(works best in Google Chrome, </w:t>
                            </w:r>
                            <w:r w:rsidR="00573CB5">
                              <w:rPr>
                                <w:rStyle w:val="Hyperlink"/>
                                <w:color w:val="auto"/>
                                <w:sz w:val="20"/>
                              </w:rPr>
                              <w:t>Firefox, and Internet Explorer 11</w:t>
                            </w:r>
                            <w:r w:rsidR="001119A4" w:rsidRPr="00C81DA1">
                              <w:rPr>
                                <w:rStyle w:val="Hyperlink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:rsidR="001119A4" w:rsidRPr="00C81DA1" w:rsidRDefault="001119A4" w:rsidP="001119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pt;width:532.5pt;height:51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" strokeweight="3pt">
                <v:textbox>
                  <w:txbxContent>
                    <w:p w:rsidR="001119A4" w:rsidRPr="0073209E" w:rsidRDefault="001119A4" w:rsidP="001119A4">
                      <w:pPr>
                        <w:tabs>
                          <w:tab w:val="left" w:pos="0"/>
                          <w:tab w:val="left" w:pos="450"/>
                        </w:tabs>
                        <w:spacing w:after="0" w:line="240" w:lineRule="auto"/>
                        <w:ind w:left="-720" w:right="-907"/>
                        <w:contextualSpacing/>
                        <w:jc w:val="center"/>
                        <w:rPr>
                          <w:b/>
                          <w:sz w:val="40"/>
                        </w:rPr>
                      </w:pPr>
                      <w:r w:rsidRPr="0073209E">
                        <w:rPr>
                          <w:b/>
                          <w:sz w:val="40"/>
                        </w:rPr>
                        <w:t xml:space="preserve">SDAP Help Sheet for </w:t>
                      </w:r>
                      <w:r>
                        <w:rPr>
                          <w:b/>
                          <w:sz w:val="40"/>
                        </w:rPr>
                        <w:t>Creating Items</w:t>
                      </w:r>
                    </w:p>
                    <w:p w:rsidR="001119A4" w:rsidRPr="00C81DA1" w:rsidRDefault="00D00716" w:rsidP="001119A4">
                      <w:pPr>
                        <w:tabs>
                          <w:tab w:val="left" w:pos="0"/>
                          <w:tab w:val="left" w:pos="450"/>
                        </w:tabs>
                        <w:spacing w:after="0" w:line="240" w:lineRule="auto"/>
                        <w:ind w:left="-720" w:right="-907"/>
                        <w:contextualSpacing/>
                        <w:jc w:val="center"/>
                        <w:rPr>
                          <w:u w:val="single"/>
                        </w:rPr>
                      </w:pPr>
                      <w:hyperlink r:id="rId10" w:history="1">
                        <w:r w:rsidR="001119A4" w:rsidRPr="009432E3">
                          <w:rPr>
                            <w:rStyle w:val="Hyperlink"/>
                          </w:rPr>
                          <w:t>https://sdap.emetric.net/Portal/</w:t>
                        </w:r>
                      </w:hyperlink>
                      <w:r w:rsidR="001119A4">
                        <w:rPr>
                          <w:rStyle w:val="Hyperlink"/>
                        </w:rPr>
                        <w:t xml:space="preserve"> </w:t>
                      </w:r>
                      <w:r w:rsidR="001119A4" w:rsidRPr="00C81DA1">
                        <w:rPr>
                          <w:rStyle w:val="Hyperlink"/>
                          <w:color w:val="auto"/>
                          <w:sz w:val="20"/>
                        </w:rPr>
                        <w:t xml:space="preserve">(works best in Google Chrome, </w:t>
                      </w:r>
                      <w:r w:rsidR="00573CB5">
                        <w:rPr>
                          <w:rStyle w:val="Hyperlink"/>
                          <w:color w:val="auto"/>
                          <w:sz w:val="20"/>
                        </w:rPr>
                        <w:t>Firefox, and Internet Explorer 11</w:t>
                      </w:r>
                      <w:r w:rsidR="001119A4" w:rsidRPr="00C81DA1">
                        <w:rPr>
                          <w:rStyle w:val="Hyperlink"/>
                          <w:color w:val="auto"/>
                          <w:sz w:val="20"/>
                        </w:rPr>
                        <w:t>)</w:t>
                      </w:r>
                    </w:p>
                    <w:p w:rsidR="001119A4" w:rsidRPr="00C81DA1" w:rsidRDefault="001119A4" w:rsidP="001119A4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D779F">
        <w:rPr>
          <w:b/>
          <w:sz w:val="28"/>
        </w:rPr>
        <w:t>(More detailed instructions can be found in the “Authoring Manual” under Help in the SDAP)</w:t>
      </w:r>
    </w:p>
    <w:p w:rsidR="001119A4" w:rsidRPr="007349BA" w:rsidRDefault="001119A4" w:rsidP="001119A4">
      <w:pPr>
        <w:pStyle w:val="ListParagraph"/>
        <w:numPr>
          <w:ilvl w:val="0"/>
          <w:numId w:val="13"/>
        </w:numPr>
      </w:pPr>
      <w:r w:rsidRPr="007349BA">
        <w:t xml:space="preserve">Click on </w:t>
      </w:r>
      <w:r w:rsidR="007D1E12">
        <w:rPr>
          <w:noProof/>
        </w:rPr>
        <w:drawing>
          <wp:inline distT="0" distB="0" distL="0" distR="0" wp14:anchorId="6D48984B" wp14:editId="15075741">
            <wp:extent cx="514350" cy="45332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074" cy="45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97418F">
        <w:t>on</w:t>
      </w:r>
      <w:proofErr w:type="spellEnd"/>
      <w:r w:rsidR="0097418F">
        <w:t xml:space="preserve"> the Welcome screen once you have logged into the system.</w:t>
      </w:r>
    </w:p>
    <w:p w:rsidR="001119A4" w:rsidRPr="007349BA" w:rsidRDefault="001119A4" w:rsidP="001119A4">
      <w:pPr>
        <w:pStyle w:val="ListParagraph"/>
        <w:numPr>
          <w:ilvl w:val="0"/>
          <w:numId w:val="13"/>
        </w:numPr>
        <w:tabs>
          <w:tab w:val="left" w:pos="-1800"/>
          <w:tab w:val="left" w:pos="90"/>
        </w:tabs>
        <w:ind w:left="450" w:hanging="270"/>
      </w:pPr>
      <w:r w:rsidRPr="007349BA">
        <w:t xml:space="preserve">Click on </w:t>
      </w:r>
      <w:r w:rsidR="0097418F">
        <w:t xml:space="preserve">the drop box by </w:t>
      </w:r>
      <w:r w:rsidR="007D1E12">
        <w:rPr>
          <w:noProof/>
        </w:rPr>
        <w:t>“Item Banks” and click on “Classroom Program”</w:t>
      </w:r>
      <w:r w:rsidR="0097418F">
        <w:rPr>
          <w:noProof/>
        </w:rPr>
        <w:t xml:space="preserve"> if that is not the default for your account.  All of the item banks in the system you have access to should now be visible.</w:t>
      </w:r>
    </w:p>
    <w:p w:rsidR="001119A4" w:rsidRDefault="0097418F" w:rsidP="0097418F">
      <w:pPr>
        <w:pStyle w:val="ListParagraph"/>
        <w:numPr>
          <w:ilvl w:val="0"/>
          <w:numId w:val="13"/>
        </w:numPr>
        <w:tabs>
          <w:tab w:val="left" w:pos="90"/>
        </w:tabs>
      </w:pPr>
      <w:r>
        <w:t>Click on</w:t>
      </w:r>
      <w:r>
        <w:rPr>
          <w:noProof/>
        </w:rPr>
        <w:drawing>
          <wp:inline distT="0" distB="0" distL="0" distR="0">
            <wp:extent cx="866775" cy="162848"/>
            <wp:effectExtent l="0" t="0" r="0" b="8890"/>
            <wp:docPr id="2" name="Picture 2" descr="C:\Users\depr16156\Desktop\SDAP\SDAP Images\Create an Item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r16156\Desktop\SDAP\SDAP Images\Create an Item Ban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39" cy="16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214">
        <w:t xml:space="preserve">.  </w:t>
      </w:r>
      <w:r w:rsidR="007D1E12">
        <w:t>Create a name for your item bank.  You can also choose to align it w</w:t>
      </w:r>
      <w:r w:rsidR="009D752D">
        <w:t>ith a specific subject/standard, as well as choose to share it with others now, or come back to this area to share it later.</w:t>
      </w:r>
    </w:p>
    <w:p w:rsidR="00BE2214" w:rsidRPr="007349BA" w:rsidRDefault="00BE2214" w:rsidP="0097418F">
      <w:pPr>
        <w:pStyle w:val="ListParagraph"/>
        <w:numPr>
          <w:ilvl w:val="0"/>
          <w:numId w:val="13"/>
        </w:numPr>
        <w:tabs>
          <w:tab w:val="left" w:pos="90"/>
        </w:tabs>
      </w:pPr>
      <w:r>
        <w:t xml:space="preserve">Click on </w:t>
      </w:r>
      <w:r>
        <w:rPr>
          <w:noProof/>
        </w:rPr>
        <w:drawing>
          <wp:inline distT="0" distB="0" distL="0" distR="0" wp14:anchorId="4B214B03" wp14:editId="574798BE">
            <wp:extent cx="762000" cy="166687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2025" cy="1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9A4" w:rsidRDefault="001119A4" w:rsidP="001119A4">
      <w:pPr>
        <w:pStyle w:val="ListParagraph"/>
        <w:numPr>
          <w:ilvl w:val="0"/>
          <w:numId w:val="13"/>
        </w:numPr>
        <w:tabs>
          <w:tab w:val="left" w:pos="90"/>
        </w:tabs>
        <w:ind w:left="450" w:hanging="270"/>
      </w:pPr>
      <w:r w:rsidRPr="007349BA">
        <w:t xml:space="preserve">Click on </w:t>
      </w:r>
      <w:r w:rsidR="009D752D">
        <w:rPr>
          <w:noProof/>
        </w:rPr>
        <w:drawing>
          <wp:inline distT="0" distB="0" distL="0" distR="0" wp14:anchorId="19E1CE85" wp14:editId="07B3F3C4">
            <wp:extent cx="295275" cy="1362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3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52D" w:rsidRDefault="009D752D" w:rsidP="001119A4">
      <w:pPr>
        <w:pStyle w:val="ListParagraph"/>
        <w:numPr>
          <w:ilvl w:val="0"/>
          <w:numId w:val="13"/>
        </w:numPr>
        <w:tabs>
          <w:tab w:val="left" w:pos="90"/>
        </w:tabs>
        <w:ind w:left="450" w:hanging="270"/>
      </w:pPr>
      <w:r>
        <w:t>Choose the standard(s) for which you plan to write the question on the right of the screen</w:t>
      </w:r>
      <w:r w:rsidR="00085D39">
        <w:t xml:space="preserve"> from the section labeled “South Dakota Standards”</w:t>
      </w:r>
    </w:p>
    <w:p w:rsidR="009D752D" w:rsidRDefault="009D752D" w:rsidP="001119A4">
      <w:pPr>
        <w:pStyle w:val="ListParagraph"/>
        <w:numPr>
          <w:ilvl w:val="0"/>
          <w:numId w:val="13"/>
        </w:numPr>
        <w:tabs>
          <w:tab w:val="left" w:pos="90"/>
        </w:tabs>
        <w:ind w:left="450" w:hanging="270"/>
      </w:pPr>
      <w:r>
        <w:t xml:space="preserve">Click on </w:t>
      </w:r>
      <w:r>
        <w:rPr>
          <w:noProof/>
        </w:rPr>
        <w:drawing>
          <wp:inline distT="0" distB="0" distL="0" distR="0" wp14:anchorId="21C7F348" wp14:editId="6582B444">
            <wp:extent cx="762000" cy="18600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6348" cy="18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52D" w:rsidRDefault="009D752D" w:rsidP="001119A4">
      <w:pPr>
        <w:pStyle w:val="ListParagraph"/>
        <w:numPr>
          <w:ilvl w:val="0"/>
          <w:numId w:val="13"/>
        </w:numPr>
        <w:tabs>
          <w:tab w:val="left" w:pos="90"/>
        </w:tabs>
        <w:ind w:left="450" w:hanging="270"/>
      </w:pPr>
      <w:r>
        <w:t>A window will appear with these template choices:</w:t>
      </w:r>
    </w:p>
    <w:p w:rsidR="009D752D" w:rsidRPr="007349BA" w:rsidRDefault="007A6673" w:rsidP="009D752D">
      <w:pPr>
        <w:pStyle w:val="ListParagraph"/>
        <w:tabs>
          <w:tab w:val="left" w:pos="90"/>
        </w:tabs>
        <w:ind w:left="450"/>
      </w:pPr>
      <w:r>
        <w:rPr>
          <w:noProof/>
        </w:rPr>
        <w:drawing>
          <wp:inline distT="0" distB="0" distL="0" distR="0" wp14:anchorId="7E56CC52" wp14:editId="4AA3E452">
            <wp:extent cx="5124450" cy="1618910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7918" cy="162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EEC" w:rsidRPr="009937B3" w:rsidRDefault="001119A4" w:rsidP="00F90EEC">
      <w:pPr>
        <w:pStyle w:val="ListParagraph"/>
        <w:numPr>
          <w:ilvl w:val="0"/>
          <w:numId w:val="13"/>
        </w:numPr>
        <w:ind w:left="450" w:right="-720" w:hanging="270"/>
        <w:rPr>
          <w:sz w:val="21"/>
          <w:szCs w:val="21"/>
        </w:rPr>
      </w:pPr>
      <w:r w:rsidRPr="007349BA">
        <w:t>Choose question type:</w:t>
      </w:r>
      <w:r w:rsidR="00B34D95">
        <w:t xml:space="preserve">  </w:t>
      </w:r>
      <w:r w:rsidRPr="007349BA">
        <w:t xml:space="preserve"> </w:t>
      </w:r>
      <w:r w:rsidR="007A6673">
        <w:t>Blank TE Item, Choice Interaction, or Extended Text Interaction</w:t>
      </w:r>
    </w:p>
    <w:p w:rsidR="004D1C66" w:rsidRDefault="004D1C66" w:rsidP="00F90EEC">
      <w:pPr>
        <w:pStyle w:val="ListParagraph"/>
        <w:ind w:left="450" w:right="-720"/>
        <w:rPr>
          <w:sz w:val="21"/>
          <w:szCs w:val="21"/>
        </w:rPr>
      </w:pPr>
    </w:p>
    <w:p w:rsidR="001119A4" w:rsidRDefault="004D1C66" w:rsidP="00ED779F">
      <w:pPr>
        <w:pStyle w:val="ListParagraph"/>
        <w:ind w:left="450" w:right="-720"/>
        <w:rPr>
          <w:sz w:val="21"/>
          <w:szCs w:val="21"/>
        </w:rPr>
      </w:pPr>
      <w:r>
        <w:rPr>
          <w:noProof/>
        </w:rPr>
        <w:drawing>
          <wp:inline distT="0" distB="0" distL="0" distR="0" wp14:anchorId="0B99C5CD" wp14:editId="2546129B">
            <wp:extent cx="4514850" cy="2083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0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79F" w:rsidRDefault="00ED779F" w:rsidP="00ED779F">
      <w:pPr>
        <w:pStyle w:val="ListParagraph"/>
        <w:numPr>
          <w:ilvl w:val="0"/>
          <w:numId w:val="13"/>
        </w:numPr>
        <w:ind w:right="-720"/>
        <w:rPr>
          <w:sz w:val="21"/>
          <w:szCs w:val="21"/>
        </w:rPr>
      </w:pPr>
      <w:r>
        <w:rPr>
          <w:sz w:val="21"/>
          <w:szCs w:val="21"/>
        </w:rPr>
        <w:t xml:space="preserve"> Select the content you want to add by selecting it from the left menu.</w:t>
      </w:r>
      <w:r w:rsidR="00D922EE">
        <w:rPr>
          <w:sz w:val="21"/>
          <w:szCs w:val="21"/>
        </w:rPr>
        <w:t xml:space="preserve">  </w:t>
      </w:r>
    </w:p>
    <w:p w:rsidR="00FD716D" w:rsidRDefault="00FD716D" w:rsidP="00ED779F">
      <w:pPr>
        <w:pStyle w:val="ListParagraph"/>
        <w:numPr>
          <w:ilvl w:val="0"/>
          <w:numId w:val="13"/>
        </w:numPr>
        <w:ind w:right="-720"/>
        <w:rPr>
          <w:sz w:val="21"/>
          <w:szCs w:val="21"/>
        </w:rPr>
      </w:pPr>
      <w:r>
        <w:rPr>
          <w:sz w:val="21"/>
          <w:szCs w:val="21"/>
        </w:rPr>
        <w:t xml:space="preserve">Choose “Edit” to make the item to your liking. </w:t>
      </w:r>
      <w:r w:rsidR="00C947F3">
        <w:rPr>
          <w:sz w:val="21"/>
          <w:szCs w:val="21"/>
        </w:rPr>
        <w:t xml:space="preserve"> (Directions for each widget are </w:t>
      </w:r>
      <w:r>
        <w:rPr>
          <w:sz w:val="21"/>
          <w:szCs w:val="21"/>
        </w:rPr>
        <w:t>available in the Widgets help guide)</w:t>
      </w:r>
    </w:p>
    <w:p w:rsidR="00FD716D" w:rsidRDefault="00FD716D" w:rsidP="00ED779F">
      <w:pPr>
        <w:pStyle w:val="ListParagraph"/>
        <w:numPr>
          <w:ilvl w:val="0"/>
          <w:numId w:val="13"/>
        </w:numPr>
        <w:ind w:right="-720"/>
        <w:rPr>
          <w:sz w:val="21"/>
          <w:szCs w:val="21"/>
        </w:rPr>
      </w:pPr>
      <w:r>
        <w:rPr>
          <w:sz w:val="21"/>
          <w:szCs w:val="21"/>
        </w:rPr>
        <w:t>Items must be aligned to a standard to be saved</w:t>
      </w:r>
    </w:p>
    <w:p w:rsidR="00FD716D" w:rsidRDefault="00FD716D" w:rsidP="00ED779F">
      <w:pPr>
        <w:pStyle w:val="ListParagraph"/>
        <w:numPr>
          <w:ilvl w:val="0"/>
          <w:numId w:val="13"/>
        </w:numPr>
        <w:ind w:right="-720"/>
        <w:rPr>
          <w:sz w:val="21"/>
          <w:szCs w:val="21"/>
        </w:rPr>
      </w:pPr>
      <w:r>
        <w:rPr>
          <w:sz w:val="21"/>
          <w:szCs w:val="21"/>
        </w:rPr>
        <w:t>Select “Scoring</w:t>
      </w:r>
      <w:r w:rsidR="004D777E">
        <w:rPr>
          <w:sz w:val="21"/>
          <w:szCs w:val="21"/>
        </w:rPr>
        <w:t xml:space="preserve"> Mode</w:t>
      </w:r>
      <w:r>
        <w:rPr>
          <w:sz w:val="21"/>
          <w:szCs w:val="21"/>
        </w:rPr>
        <w:t>” to enter the scoring rubric</w:t>
      </w:r>
      <w:r w:rsidR="00E707D2">
        <w:rPr>
          <w:sz w:val="21"/>
          <w:szCs w:val="21"/>
        </w:rPr>
        <w:t xml:space="preserve"> (more information is</w:t>
      </w:r>
      <w:r w:rsidR="009937B3">
        <w:rPr>
          <w:sz w:val="21"/>
          <w:szCs w:val="21"/>
        </w:rPr>
        <w:t xml:space="preserve"> available on pg. 9 of the Authoring manual)</w:t>
      </w:r>
    </w:p>
    <w:p w:rsidR="009937B3" w:rsidRDefault="009937B3" w:rsidP="00ED779F">
      <w:pPr>
        <w:pStyle w:val="ListParagraph"/>
        <w:numPr>
          <w:ilvl w:val="0"/>
          <w:numId w:val="13"/>
        </w:numPr>
        <w:ind w:right="-720"/>
        <w:rPr>
          <w:sz w:val="21"/>
          <w:szCs w:val="21"/>
        </w:rPr>
      </w:pPr>
      <w:r>
        <w:rPr>
          <w:sz w:val="21"/>
          <w:szCs w:val="21"/>
        </w:rPr>
        <w:t>Save the item to your item bank</w:t>
      </w:r>
    </w:p>
    <w:p w:rsidR="001119A4" w:rsidRPr="002A3C80" w:rsidRDefault="00876D8B" w:rsidP="001119A4">
      <w:pPr>
        <w:pStyle w:val="ListParagraph"/>
        <w:numPr>
          <w:ilvl w:val="0"/>
          <w:numId w:val="13"/>
        </w:numPr>
        <w:ind w:right="-720"/>
      </w:pPr>
      <w:r w:rsidRPr="00876D8B">
        <w:rPr>
          <w:sz w:val="21"/>
          <w:szCs w:val="21"/>
        </w:rPr>
        <w:t>Pages 6-11 of the Authoring manual has more detailed instructions</w:t>
      </w:r>
    </w:p>
    <w:sectPr w:rsidR="001119A4" w:rsidRPr="002A3C80" w:rsidSect="00DC36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04" w:rsidRDefault="002A7B04" w:rsidP="00CB2DE5">
      <w:pPr>
        <w:spacing w:after="0" w:line="240" w:lineRule="auto"/>
      </w:pPr>
      <w:r>
        <w:separator/>
      </w:r>
    </w:p>
  </w:endnote>
  <w:endnote w:type="continuationSeparator" w:id="0">
    <w:p w:rsidR="002A7B04" w:rsidRDefault="002A7B04" w:rsidP="00CB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04" w:rsidRDefault="002A7B04" w:rsidP="00CB2DE5">
      <w:pPr>
        <w:spacing w:after="0" w:line="240" w:lineRule="auto"/>
      </w:pPr>
      <w:r>
        <w:separator/>
      </w:r>
    </w:p>
  </w:footnote>
  <w:footnote w:type="continuationSeparator" w:id="0">
    <w:p w:rsidR="002A7B04" w:rsidRDefault="002A7B04" w:rsidP="00CB2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7C0"/>
    <w:multiLevelType w:val="hybridMultilevel"/>
    <w:tmpl w:val="04C8BCD8"/>
    <w:lvl w:ilvl="0" w:tplc="B9382EA6">
      <w:start w:val="6"/>
      <w:numFmt w:val="decimal"/>
      <w:lvlText w:val="%1)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>
    <w:nsid w:val="1EF84A2A"/>
    <w:multiLevelType w:val="hybridMultilevel"/>
    <w:tmpl w:val="2D94DCB6"/>
    <w:lvl w:ilvl="0" w:tplc="C186C15A">
      <w:start w:val="9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6628E"/>
    <w:multiLevelType w:val="hybridMultilevel"/>
    <w:tmpl w:val="258600AE"/>
    <w:lvl w:ilvl="0" w:tplc="C186C15A">
      <w:start w:val="9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AD5"/>
    <w:multiLevelType w:val="hybridMultilevel"/>
    <w:tmpl w:val="7FB47C76"/>
    <w:lvl w:ilvl="0" w:tplc="42DA2F9A">
      <w:start w:val="13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2310A"/>
    <w:multiLevelType w:val="hybridMultilevel"/>
    <w:tmpl w:val="E0886460"/>
    <w:lvl w:ilvl="0" w:tplc="42DA2F9A">
      <w:start w:val="13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600C2"/>
    <w:multiLevelType w:val="hybridMultilevel"/>
    <w:tmpl w:val="0D4EB8B2"/>
    <w:lvl w:ilvl="0" w:tplc="F9F61AD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8155C"/>
    <w:multiLevelType w:val="hybridMultilevel"/>
    <w:tmpl w:val="E4C292A4"/>
    <w:lvl w:ilvl="0" w:tplc="ED7675D4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B6115B2"/>
    <w:multiLevelType w:val="hybridMultilevel"/>
    <w:tmpl w:val="EF704A2C"/>
    <w:lvl w:ilvl="0" w:tplc="79A658D8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25C62"/>
    <w:multiLevelType w:val="hybridMultilevel"/>
    <w:tmpl w:val="82489D9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6220A"/>
    <w:multiLevelType w:val="hybridMultilevel"/>
    <w:tmpl w:val="2C0AEC7A"/>
    <w:lvl w:ilvl="0" w:tplc="FA6EF884">
      <w:start w:val="6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D6C99"/>
    <w:multiLevelType w:val="hybridMultilevel"/>
    <w:tmpl w:val="82489D9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177CC"/>
    <w:multiLevelType w:val="hybridMultilevel"/>
    <w:tmpl w:val="42C63024"/>
    <w:lvl w:ilvl="0" w:tplc="C186C15A">
      <w:start w:val="9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23C9"/>
    <w:multiLevelType w:val="hybridMultilevel"/>
    <w:tmpl w:val="1172A996"/>
    <w:lvl w:ilvl="0" w:tplc="6A04A374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63DD3"/>
    <w:multiLevelType w:val="hybridMultilevel"/>
    <w:tmpl w:val="6D76B46C"/>
    <w:lvl w:ilvl="0" w:tplc="C186C15A">
      <w:start w:val="9"/>
      <w:numFmt w:val="decimal"/>
      <w:lvlText w:val="%1)"/>
      <w:lvlJc w:val="left"/>
      <w:pPr>
        <w:ind w:left="810" w:hanging="360"/>
      </w:pPr>
      <w:rPr>
        <w:rFonts w:asciiTheme="minorHAnsi" w:eastAsiaTheme="minorHAnsi" w:hAnsiTheme="minorHAnsi" w:cstheme="min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10D3DA0"/>
    <w:multiLevelType w:val="hybridMultilevel"/>
    <w:tmpl w:val="82489D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0291F"/>
    <w:multiLevelType w:val="hybridMultilevel"/>
    <w:tmpl w:val="C5060322"/>
    <w:lvl w:ilvl="0" w:tplc="B9382EA6">
      <w:start w:val="6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6">
    <w:nsid w:val="7DA27C81"/>
    <w:multiLevelType w:val="hybridMultilevel"/>
    <w:tmpl w:val="E5CA0778"/>
    <w:lvl w:ilvl="0" w:tplc="1A30F7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2"/>
  </w:num>
  <w:num w:numId="5">
    <w:abstractNumId w:val="14"/>
  </w:num>
  <w:num w:numId="6">
    <w:abstractNumId w:val="15"/>
  </w:num>
  <w:num w:numId="7">
    <w:abstractNumId w:val="9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5"/>
  </w:num>
  <w:num w:numId="13">
    <w:abstractNumId w:val="10"/>
  </w:num>
  <w:num w:numId="14">
    <w:abstractNumId w:val="0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BA"/>
    <w:rsid w:val="0007026F"/>
    <w:rsid w:val="00085D39"/>
    <w:rsid w:val="0009256F"/>
    <w:rsid w:val="000A5759"/>
    <w:rsid w:val="000D37C0"/>
    <w:rsid w:val="001060BC"/>
    <w:rsid w:val="001119A4"/>
    <w:rsid w:val="0011212E"/>
    <w:rsid w:val="00131437"/>
    <w:rsid w:val="00182F12"/>
    <w:rsid w:val="001B5FEB"/>
    <w:rsid w:val="001B7D09"/>
    <w:rsid w:val="001F1E6A"/>
    <w:rsid w:val="00217DFA"/>
    <w:rsid w:val="00244BC7"/>
    <w:rsid w:val="002820A1"/>
    <w:rsid w:val="002A28AC"/>
    <w:rsid w:val="002A7B04"/>
    <w:rsid w:val="002F4C7D"/>
    <w:rsid w:val="00315C26"/>
    <w:rsid w:val="00394A6C"/>
    <w:rsid w:val="003B3FCF"/>
    <w:rsid w:val="004D1C66"/>
    <w:rsid w:val="004D777E"/>
    <w:rsid w:val="00513DBE"/>
    <w:rsid w:val="00520FE7"/>
    <w:rsid w:val="00570F82"/>
    <w:rsid w:val="00573CB5"/>
    <w:rsid w:val="005841EA"/>
    <w:rsid w:val="00610A78"/>
    <w:rsid w:val="00612B1F"/>
    <w:rsid w:val="006234F6"/>
    <w:rsid w:val="00654570"/>
    <w:rsid w:val="00662DC0"/>
    <w:rsid w:val="00670BDC"/>
    <w:rsid w:val="006B0C90"/>
    <w:rsid w:val="006B0FB2"/>
    <w:rsid w:val="006B2C2D"/>
    <w:rsid w:val="006C2951"/>
    <w:rsid w:val="007349BA"/>
    <w:rsid w:val="00746DE5"/>
    <w:rsid w:val="0076103D"/>
    <w:rsid w:val="00797793"/>
    <w:rsid w:val="007A0536"/>
    <w:rsid w:val="007A6673"/>
    <w:rsid w:val="007C77A7"/>
    <w:rsid w:val="007D1E12"/>
    <w:rsid w:val="007D4225"/>
    <w:rsid w:val="007E2D07"/>
    <w:rsid w:val="00864F45"/>
    <w:rsid w:val="00876D8B"/>
    <w:rsid w:val="0088082B"/>
    <w:rsid w:val="008A228E"/>
    <w:rsid w:val="00933C69"/>
    <w:rsid w:val="009733C8"/>
    <w:rsid w:val="0097418F"/>
    <w:rsid w:val="009937B3"/>
    <w:rsid w:val="009B4626"/>
    <w:rsid w:val="009D752D"/>
    <w:rsid w:val="00A63AEA"/>
    <w:rsid w:val="00A80396"/>
    <w:rsid w:val="00AC543C"/>
    <w:rsid w:val="00B34D95"/>
    <w:rsid w:val="00B51B0A"/>
    <w:rsid w:val="00BB519B"/>
    <w:rsid w:val="00BE2214"/>
    <w:rsid w:val="00C60ADC"/>
    <w:rsid w:val="00C70C2C"/>
    <w:rsid w:val="00C80148"/>
    <w:rsid w:val="00C947F3"/>
    <w:rsid w:val="00CB2DE5"/>
    <w:rsid w:val="00CD5B78"/>
    <w:rsid w:val="00D00716"/>
    <w:rsid w:val="00D63514"/>
    <w:rsid w:val="00D922EE"/>
    <w:rsid w:val="00D979FC"/>
    <w:rsid w:val="00DC3648"/>
    <w:rsid w:val="00DE0F4C"/>
    <w:rsid w:val="00E707D2"/>
    <w:rsid w:val="00E872BA"/>
    <w:rsid w:val="00ED779F"/>
    <w:rsid w:val="00F2460C"/>
    <w:rsid w:val="00F45618"/>
    <w:rsid w:val="00F90EEC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72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2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E5"/>
  </w:style>
  <w:style w:type="paragraph" w:styleId="Footer">
    <w:name w:val="footer"/>
    <w:basedOn w:val="Normal"/>
    <w:link w:val="FooterChar"/>
    <w:uiPriority w:val="99"/>
    <w:unhideWhenUsed/>
    <w:rsid w:val="00CB2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72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2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E5"/>
  </w:style>
  <w:style w:type="paragraph" w:styleId="Footer">
    <w:name w:val="footer"/>
    <w:basedOn w:val="Normal"/>
    <w:link w:val="FooterChar"/>
    <w:uiPriority w:val="99"/>
    <w:unhideWhenUsed/>
    <w:rsid w:val="00CB2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sdap.emetric.net/Porta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dap.emetric.net/Portal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A4EA-C78D-4233-BA3C-2E8DDFB6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Gill, Matthew</dc:creator>
  <cp:lastModifiedBy>Booth, Christina</cp:lastModifiedBy>
  <cp:revision>2</cp:revision>
  <cp:lastPrinted>2015-07-09T14:31:00Z</cp:lastPrinted>
  <dcterms:created xsi:type="dcterms:W3CDTF">2016-05-26T18:28:00Z</dcterms:created>
  <dcterms:modified xsi:type="dcterms:W3CDTF">2016-05-26T18:28:00Z</dcterms:modified>
</cp:coreProperties>
</file>