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1F342C" w:rsidTr="00B64005">
        <w:tc>
          <w:tcPr>
            <w:tcW w:w="1630" w:type="dxa"/>
            <w:shd w:val="clear" w:color="auto" w:fill="92CDDC" w:themeFill="accent5" w:themeFillTint="99"/>
            <w:tcMar>
              <w:top w:w="100" w:type="dxa"/>
              <w:left w:w="100" w:type="dxa"/>
              <w:bottom w:w="100" w:type="dxa"/>
              <w:right w:w="100" w:type="dxa"/>
            </w:tcMar>
            <w:vAlign w:val="center"/>
          </w:tcPr>
          <w:p w:rsidR="001F342C" w:rsidRDefault="001F342C" w:rsidP="00B64005">
            <w:pPr>
              <w:widowControl w:val="0"/>
              <w:spacing w:line="240" w:lineRule="auto"/>
            </w:pPr>
            <w:r>
              <w:rPr>
                <w:b/>
              </w:rPr>
              <w:t>Grade Level:</w:t>
            </w:r>
          </w:p>
        </w:tc>
        <w:tc>
          <w:tcPr>
            <w:tcW w:w="7740" w:type="dxa"/>
            <w:tcMar>
              <w:top w:w="100" w:type="dxa"/>
              <w:left w:w="100" w:type="dxa"/>
              <w:bottom w:w="100" w:type="dxa"/>
              <w:right w:w="100" w:type="dxa"/>
            </w:tcMar>
          </w:tcPr>
          <w:p w:rsidR="001F342C" w:rsidRDefault="001F342C" w:rsidP="00D3138C">
            <w:pPr>
              <w:widowControl w:val="0"/>
              <w:spacing w:line="240" w:lineRule="auto"/>
            </w:pPr>
            <w:r>
              <w:t>High School</w:t>
            </w:r>
          </w:p>
        </w:tc>
      </w:tr>
      <w:tr w:rsidR="001F342C" w:rsidTr="00B64005">
        <w:tc>
          <w:tcPr>
            <w:tcW w:w="1630" w:type="dxa"/>
            <w:shd w:val="clear" w:color="auto" w:fill="92CDDC" w:themeFill="accent5" w:themeFillTint="99"/>
            <w:tcMar>
              <w:top w:w="100" w:type="dxa"/>
              <w:left w:w="100" w:type="dxa"/>
              <w:bottom w:w="100" w:type="dxa"/>
              <w:right w:w="100" w:type="dxa"/>
            </w:tcMar>
            <w:vAlign w:val="center"/>
          </w:tcPr>
          <w:p w:rsidR="001F342C" w:rsidRDefault="001F342C" w:rsidP="00B64005">
            <w:pPr>
              <w:widowControl w:val="0"/>
              <w:spacing w:line="240" w:lineRule="auto"/>
            </w:pPr>
            <w:r>
              <w:rPr>
                <w:b/>
              </w:rPr>
              <w:t>Subject:</w:t>
            </w:r>
          </w:p>
        </w:tc>
        <w:tc>
          <w:tcPr>
            <w:tcW w:w="7740" w:type="dxa"/>
            <w:tcMar>
              <w:top w:w="100" w:type="dxa"/>
              <w:left w:w="100" w:type="dxa"/>
              <w:bottom w:w="100" w:type="dxa"/>
              <w:right w:w="100" w:type="dxa"/>
            </w:tcMar>
          </w:tcPr>
          <w:p w:rsidR="001F342C" w:rsidRDefault="001F342C" w:rsidP="00D3138C">
            <w:pPr>
              <w:widowControl w:val="0"/>
              <w:spacing w:line="240" w:lineRule="auto"/>
            </w:pPr>
            <w:r>
              <w:t>Geography</w:t>
            </w:r>
          </w:p>
        </w:tc>
      </w:tr>
      <w:tr w:rsidR="001F342C" w:rsidTr="00B64005">
        <w:tc>
          <w:tcPr>
            <w:tcW w:w="1630" w:type="dxa"/>
            <w:shd w:val="clear" w:color="auto" w:fill="92CDDC" w:themeFill="accent5" w:themeFillTint="99"/>
            <w:tcMar>
              <w:top w:w="100" w:type="dxa"/>
              <w:left w:w="100" w:type="dxa"/>
              <w:bottom w:w="100" w:type="dxa"/>
              <w:right w:w="100" w:type="dxa"/>
            </w:tcMar>
            <w:vAlign w:val="center"/>
          </w:tcPr>
          <w:p w:rsidR="001F342C" w:rsidRDefault="001F342C" w:rsidP="00B64005">
            <w:pPr>
              <w:widowControl w:val="0"/>
              <w:spacing w:line="240" w:lineRule="auto"/>
            </w:pPr>
            <w:r>
              <w:rPr>
                <w:b/>
              </w:rPr>
              <w:t>K-12 Anchor Standard:</w:t>
            </w:r>
          </w:p>
        </w:tc>
        <w:tc>
          <w:tcPr>
            <w:tcW w:w="7740" w:type="dxa"/>
            <w:tcMar>
              <w:top w:w="100" w:type="dxa"/>
              <w:left w:w="100" w:type="dxa"/>
              <w:bottom w:w="100" w:type="dxa"/>
              <w:right w:w="100" w:type="dxa"/>
            </w:tcMar>
          </w:tcPr>
          <w:p w:rsidR="001F342C" w:rsidRDefault="001F342C" w:rsidP="00D3138C">
            <w:pPr>
              <w:widowControl w:val="0"/>
              <w:spacing w:line="240" w:lineRule="auto"/>
            </w:pPr>
            <w:r w:rsidRPr="00B64005">
              <w:t>G.1</w:t>
            </w:r>
            <w:r>
              <w:t xml:space="preserve"> Students will apply geospatial resources, including data sources and geographic tools to generate, interpret, and analyze information</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1F342C" w:rsidTr="00B64005">
        <w:tc>
          <w:tcPr>
            <w:tcW w:w="1630" w:type="dxa"/>
            <w:shd w:val="clear" w:color="auto" w:fill="92CDDC" w:themeFill="accent5" w:themeFillTint="99"/>
            <w:tcMar>
              <w:top w:w="100" w:type="dxa"/>
              <w:left w:w="100" w:type="dxa"/>
              <w:bottom w:w="100" w:type="dxa"/>
              <w:right w:w="100" w:type="dxa"/>
            </w:tcMar>
            <w:vAlign w:val="center"/>
          </w:tcPr>
          <w:p w:rsidR="001F342C" w:rsidRDefault="001F342C" w:rsidP="00B64005">
            <w:pPr>
              <w:widowControl w:val="0"/>
              <w:spacing w:line="240" w:lineRule="auto"/>
            </w:pPr>
            <w:r>
              <w:rPr>
                <w:b/>
              </w:rPr>
              <w:t>Grade-Level Standards:</w:t>
            </w:r>
          </w:p>
        </w:tc>
        <w:tc>
          <w:tcPr>
            <w:tcW w:w="7730" w:type="dxa"/>
            <w:shd w:val="clear" w:color="auto" w:fill="auto"/>
            <w:vAlign w:val="center"/>
          </w:tcPr>
          <w:p w:rsidR="001F342C" w:rsidRPr="00B64005" w:rsidRDefault="001F342C" w:rsidP="001F342C">
            <w:pPr>
              <w:widowControl w:val="0"/>
              <w:spacing w:line="240" w:lineRule="auto"/>
              <w:rPr>
                <w:b/>
              </w:rPr>
            </w:pPr>
            <w:r w:rsidRPr="00B64005">
              <w:rPr>
                <w:b/>
              </w:rPr>
              <w:t>9-12.G.1.1 Use maps and other geographic representations, tools and technologies to acquire, process, and report information from a spatial perspective.</w:t>
            </w:r>
          </w:p>
        </w:tc>
      </w:tr>
    </w:tbl>
    <w:p w:rsidR="003E6C03" w:rsidRDefault="003E6C03"/>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E6C03" w:rsidTr="001F342C">
        <w:tc>
          <w:tcPr>
            <w:tcW w:w="9360" w:type="dxa"/>
            <w:shd w:val="clear" w:color="auto" w:fill="92CDDC" w:themeFill="accent5" w:themeFillTint="99"/>
            <w:tcMar>
              <w:top w:w="100" w:type="dxa"/>
              <w:left w:w="100" w:type="dxa"/>
              <w:bottom w:w="100" w:type="dxa"/>
              <w:right w:w="100" w:type="dxa"/>
            </w:tcMar>
          </w:tcPr>
          <w:p w:rsidR="003E6C03" w:rsidRDefault="001F342C">
            <w:pPr>
              <w:widowControl w:val="0"/>
              <w:spacing w:line="240" w:lineRule="auto"/>
              <w:jc w:val="center"/>
            </w:pPr>
            <w:r>
              <w:rPr>
                <w:b/>
              </w:rPr>
              <w:t>Student Friendly Language:</w:t>
            </w:r>
          </w:p>
        </w:tc>
      </w:tr>
      <w:tr w:rsidR="003E6C03">
        <w:tc>
          <w:tcPr>
            <w:tcW w:w="9360" w:type="dxa"/>
            <w:tcMar>
              <w:top w:w="100" w:type="dxa"/>
              <w:left w:w="100" w:type="dxa"/>
              <w:bottom w:w="100" w:type="dxa"/>
              <w:right w:w="100" w:type="dxa"/>
            </w:tcMar>
          </w:tcPr>
          <w:p w:rsidR="003E6C03" w:rsidRDefault="001F342C">
            <w:pPr>
              <w:widowControl w:val="0"/>
              <w:spacing w:line="240" w:lineRule="auto"/>
            </w:pPr>
            <w:r>
              <w:t>I can use maps and tools to collect, use, and explain information from a geographical point of view.</w:t>
            </w:r>
          </w:p>
        </w:tc>
      </w:tr>
    </w:tbl>
    <w:p w:rsidR="003E6C03" w:rsidRDefault="003E6C03"/>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4095"/>
        <w:gridCol w:w="3120"/>
      </w:tblGrid>
      <w:tr w:rsidR="003E6C03" w:rsidTr="001F342C">
        <w:tc>
          <w:tcPr>
            <w:tcW w:w="2145" w:type="dxa"/>
            <w:shd w:val="clear" w:color="auto" w:fill="92CDDC" w:themeFill="accent5" w:themeFillTint="99"/>
            <w:tcMar>
              <w:top w:w="100" w:type="dxa"/>
              <w:left w:w="100" w:type="dxa"/>
              <w:bottom w:w="100" w:type="dxa"/>
              <w:right w:w="100" w:type="dxa"/>
            </w:tcMar>
          </w:tcPr>
          <w:p w:rsidR="003E6C03" w:rsidRDefault="001F342C">
            <w:pPr>
              <w:widowControl w:val="0"/>
              <w:spacing w:line="240" w:lineRule="auto"/>
              <w:jc w:val="center"/>
            </w:pPr>
            <w:r>
              <w:rPr>
                <w:b/>
              </w:rPr>
              <w:t>Know</w:t>
            </w:r>
          </w:p>
          <w:p w:rsidR="003E6C03" w:rsidRDefault="001F342C">
            <w:pPr>
              <w:widowControl w:val="0"/>
              <w:spacing w:line="240" w:lineRule="auto"/>
              <w:jc w:val="center"/>
            </w:pPr>
            <w:r>
              <w:t>(Factual)</w:t>
            </w:r>
          </w:p>
        </w:tc>
        <w:tc>
          <w:tcPr>
            <w:tcW w:w="4095" w:type="dxa"/>
            <w:shd w:val="clear" w:color="auto" w:fill="92CDDC" w:themeFill="accent5" w:themeFillTint="99"/>
            <w:tcMar>
              <w:top w:w="100" w:type="dxa"/>
              <w:left w:w="100" w:type="dxa"/>
              <w:bottom w:w="100" w:type="dxa"/>
              <w:right w:w="100" w:type="dxa"/>
            </w:tcMar>
          </w:tcPr>
          <w:p w:rsidR="003E6C03" w:rsidRDefault="001F342C">
            <w:pPr>
              <w:widowControl w:val="0"/>
              <w:spacing w:line="240" w:lineRule="auto"/>
              <w:jc w:val="center"/>
            </w:pPr>
            <w:r>
              <w:rPr>
                <w:b/>
              </w:rPr>
              <w:t>Understand</w:t>
            </w:r>
          </w:p>
          <w:p w:rsidR="003E6C03" w:rsidRDefault="001F342C">
            <w:pPr>
              <w:widowControl w:val="0"/>
              <w:spacing w:line="240" w:lineRule="auto"/>
              <w:jc w:val="center"/>
            </w:pPr>
            <w:r>
              <w:t>(Conceptual)</w:t>
            </w:r>
          </w:p>
          <w:p w:rsidR="003E6C03" w:rsidRDefault="001F342C">
            <w:pPr>
              <w:widowControl w:val="0"/>
              <w:spacing w:line="240" w:lineRule="auto"/>
              <w:jc w:val="center"/>
            </w:pPr>
            <w:r>
              <w:t>The students will understand that:</w:t>
            </w:r>
          </w:p>
        </w:tc>
        <w:tc>
          <w:tcPr>
            <w:tcW w:w="3120" w:type="dxa"/>
            <w:shd w:val="clear" w:color="auto" w:fill="92CDDC" w:themeFill="accent5" w:themeFillTint="99"/>
            <w:tcMar>
              <w:top w:w="100" w:type="dxa"/>
              <w:left w:w="100" w:type="dxa"/>
              <w:bottom w:w="100" w:type="dxa"/>
              <w:right w:w="100" w:type="dxa"/>
            </w:tcMar>
          </w:tcPr>
          <w:p w:rsidR="003E6C03" w:rsidRDefault="001F342C">
            <w:pPr>
              <w:widowControl w:val="0"/>
              <w:spacing w:line="240" w:lineRule="auto"/>
              <w:jc w:val="center"/>
            </w:pPr>
            <w:r>
              <w:rPr>
                <w:b/>
              </w:rPr>
              <w:t>Do</w:t>
            </w:r>
          </w:p>
          <w:p w:rsidR="003E6C03" w:rsidRDefault="001F342C">
            <w:pPr>
              <w:widowControl w:val="0"/>
              <w:spacing w:line="240" w:lineRule="auto"/>
              <w:jc w:val="center"/>
            </w:pPr>
            <w:r>
              <w:t>(Procedural, Application, Extended Thinking)</w:t>
            </w:r>
          </w:p>
        </w:tc>
      </w:tr>
      <w:tr w:rsidR="003E6C03">
        <w:tc>
          <w:tcPr>
            <w:tcW w:w="2145" w:type="dxa"/>
            <w:tcMar>
              <w:top w:w="100" w:type="dxa"/>
              <w:left w:w="100" w:type="dxa"/>
              <w:bottom w:w="100" w:type="dxa"/>
              <w:right w:w="100" w:type="dxa"/>
            </w:tcMar>
          </w:tcPr>
          <w:p w:rsidR="003E6C03" w:rsidRDefault="001F342C">
            <w:pPr>
              <w:widowControl w:val="0"/>
              <w:spacing w:line="240" w:lineRule="auto"/>
            </w:pPr>
            <w:r>
              <w:t>How to utilize:</w:t>
            </w:r>
          </w:p>
          <w:p w:rsidR="003E6C03" w:rsidRDefault="001F342C">
            <w:pPr>
              <w:widowControl w:val="0"/>
              <w:numPr>
                <w:ilvl w:val="0"/>
                <w:numId w:val="1"/>
              </w:numPr>
              <w:spacing w:line="240" w:lineRule="auto"/>
              <w:ind w:hanging="360"/>
              <w:contextualSpacing/>
            </w:pPr>
            <w:r>
              <w:t>maps</w:t>
            </w:r>
          </w:p>
          <w:p w:rsidR="003E6C03" w:rsidRDefault="001F342C">
            <w:pPr>
              <w:widowControl w:val="0"/>
              <w:numPr>
                <w:ilvl w:val="0"/>
                <w:numId w:val="1"/>
              </w:numPr>
              <w:spacing w:line="240" w:lineRule="auto"/>
              <w:ind w:hanging="360"/>
              <w:contextualSpacing/>
            </w:pPr>
            <w:r>
              <w:t>charts</w:t>
            </w:r>
          </w:p>
          <w:p w:rsidR="003E6C03" w:rsidRDefault="001F342C">
            <w:pPr>
              <w:widowControl w:val="0"/>
              <w:numPr>
                <w:ilvl w:val="0"/>
                <w:numId w:val="1"/>
              </w:numPr>
              <w:spacing w:line="240" w:lineRule="auto"/>
              <w:ind w:hanging="360"/>
              <w:contextualSpacing/>
            </w:pPr>
            <w:r>
              <w:t>graphs</w:t>
            </w:r>
          </w:p>
          <w:p w:rsidR="003E6C03" w:rsidRDefault="001F342C">
            <w:pPr>
              <w:widowControl w:val="0"/>
              <w:numPr>
                <w:ilvl w:val="0"/>
                <w:numId w:val="1"/>
              </w:numPr>
              <w:spacing w:line="240" w:lineRule="auto"/>
              <w:ind w:hanging="360"/>
              <w:contextualSpacing/>
            </w:pPr>
            <w:r>
              <w:t>globes</w:t>
            </w:r>
          </w:p>
          <w:p w:rsidR="003E6C03" w:rsidRDefault="001F342C">
            <w:pPr>
              <w:widowControl w:val="0"/>
              <w:numPr>
                <w:ilvl w:val="0"/>
                <w:numId w:val="1"/>
              </w:numPr>
              <w:spacing w:line="240" w:lineRule="auto"/>
              <w:ind w:hanging="360"/>
              <w:contextualSpacing/>
            </w:pPr>
            <w:r>
              <w:t>technology</w:t>
            </w:r>
          </w:p>
        </w:tc>
        <w:tc>
          <w:tcPr>
            <w:tcW w:w="4095" w:type="dxa"/>
            <w:tcMar>
              <w:top w:w="100" w:type="dxa"/>
              <w:left w:w="100" w:type="dxa"/>
              <w:bottom w:w="100" w:type="dxa"/>
              <w:right w:w="100" w:type="dxa"/>
            </w:tcMar>
          </w:tcPr>
          <w:p w:rsidR="003E6C03" w:rsidRDefault="001F342C">
            <w:pPr>
              <w:widowControl w:val="0"/>
              <w:spacing w:line="240" w:lineRule="auto"/>
            </w:pPr>
            <w:r>
              <w:t>Using various types of tools is necessary to understand geographical information.</w:t>
            </w:r>
          </w:p>
          <w:p w:rsidR="003E6C03" w:rsidRDefault="003E6C03">
            <w:pPr>
              <w:widowControl w:val="0"/>
              <w:spacing w:line="240" w:lineRule="auto"/>
            </w:pPr>
          </w:p>
          <w:p w:rsidR="003E6C03" w:rsidRDefault="001F342C">
            <w:pPr>
              <w:widowControl w:val="0"/>
              <w:spacing w:line="240" w:lineRule="auto"/>
            </w:pPr>
            <w:r>
              <w:t>Each geographic tool has a specific function related to gathering, reasoning and communicating geospatial data.</w:t>
            </w:r>
          </w:p>
        </w:tc>
        <w:tc>
          <w:tcPr>
            <w:tcW w:w="3120" w:type="dxa"/>
            <w:tcMar>
              <w:top w:w="100" w:type="dxa"/>
              <w:left w:w="100" w:type="dxa"/>
              <w:bottom w:w="100" w:type="dxa"/>
              <w:right w:w="100" w:type="dxa"/>
            </w:tcMar>
          </w:tcPr>
          <w:p w:rsidR="003E6C03" w:rsidRDefault="001F342C">
            <w:pPr>
              <w:widowControl w:val="0"/>
              <w:spacing w:line="240" w:lineRule="auto"/>
            </w:pPr>
            <w:r>
              <w:t>Utilize a variety of geographical tools to process and report geographical information.</w:t>
            </w:r>
          </w:p>
          <w:p w:rsidR="003E6C03" w:rsidRDefault="003E6C03">
            <w:pPr>
              <w:widowControl w:val="0"/>
              <w:spacing w:line="240" w:lineRule="auto"/>
            </w:pPr>
          </w:p>
          <w:p w:rsidR="003E6C03" w:rsidRDefault="001F342C">
            <w:pPr>
              <w:widowControl w:val="0"/>
              <w:spacing w:line="240" w:lineRule="auto"/>
            </w:pPr>
            <w:r>
              <w:t>Determine the appropriate tool for gathering specific geospatial information.</w:t>
            </w:r>
          </w:p>
          <w:p w:rsidR="003E6C03" w:rsidRDefault="003E6C03">
            <w:pPr>
              <w:widowControl w:val="0"/>
              <w:spacing w:line="240" w:lineRule="auto"/>
            </w:pPr>
          </w:p>
          <w:p w:rsidR="003E6C03" w:rsidRDefault="001F342C">
            <w:pPr>
              <w:widowControl w:val="0"/>
              <w:spacing w:line="240" w:lineRule="auto"/>
            </w:pPr>
            <w:r>
              <w:t>Create an appropriate representation to communicate understanding of spatial perspective</w:t>
            </w:r>
          </w:p>
          <w:p w:rsidR="003E6C03" w:rsidRDefault="003E6C03">
            <w:pPr>
              <w:widowControl w:val="0"/>
              <w:spacing w:line="240" w:lineRule="auto"/>
            </w:pPr>
          </w:p>
          <w:p w:rsidR="003E6C03" w:rsidRDefault="003E6C03">
            <w:pPr>
              <w:widowControl w:val="0"/>
              <w:spacing w:line="240" w:lineRule="auto"/>
            </w:pPr>
          </w:p>
        </w:tc>
      </w:tr>
    </w:tbl>
    <w:p w:rsidR="001F342C" w:rsidRDefault="001F342C">
      <w:pPr>
        <w:sectPr w:rsidR="001F342C">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3E6C03" w:rsidTr="001F342C">
        <w:trPr>
          <w:gridAfter w:val="1"/>
          <w:wAfter w:w="10" w:type="dxa"/>
          <w:trHeight w:val="420"/>
        </w:trPr>
        <w:tc>
          <w:tcPr>
            <w:tcW w:w="9360" w:type="dxa"/>
            <w:shd w:val="clear" w:color="auto" w:fill="92CDDC" w:themeFill="accent5" w:themeFillTint="99"/>
            <w:tcMar>
              <w:top w:w="100" w:type="dxa"/>
              <w:left w:w="100" w:type="dxa"/>
              <w:bottom w:w="100" w:type="dxa"/>
              <w:right w:w="100" w:type="dxa"/>
            </w:tcMar>
          </w:tcPr>
          <w:p w:rsidR="003E6C03" w:rsidRDefault="001F342C">
            <w:pPr>
              <w:widowControl w:val="0"/>
              <w:spacing w:line="240" w:lineRule="auto"/>
              <w:jc w:val="center"/>
            </w:pPr>
            <w:r>
              <w:rPr>
                <w:b/>
              </w:rPr>
              <w:lastRenderedPageBreak/>
              <w:t>C3 Framework Relevant Skills and Applications:</w:t>
            </w:r>
          </w:p>
        </w:tc>
      </w:tr>
      <w:tr w:rsidR="001F342C" w:rsidTr="001F342C">
        <w:tc>
          <w:tcPr>
            <w:tcW w:w="9370" w:type="dxa"/>
            <w:gridSpan w:val="2"/>
            <w:tcMar>
              <w:top w:w="100" w:type="dxa"/>
              <w:left w:w="100" w:type="dxa"/>
              <w:bottom w:w="100" w:type="dxa"/>
              <w:right w:w="100" w:type="dxa"/>
            </w:tcMar>
          </w:tcPr>
          <w:p w:rsidR="001F342C" w:rsidRPr="001F342C" w:rsidRDefault="001F342C">
            <w:pPr>
              <w:widowControl w:val="0"/>
              <w:spacing w:line="240" w:lineRule="auto"/>
              <w:rPr>
                <w:u w:val="single"/>
              </w:rPr>
            </w:pPr>
            <w:r w:rsidRPr="001F342C">
              <w:rPr>
                <w:b/>
                <w:u w:val="single"/>
              </w:rPr>
              <w:t>Determining Helpful Resources:</w:t>
            </w:r>
          </w:p>
          <w:p w:rsidR="001F342C" w:rsidRPr="001F342C" w:rsidRDefault="001F342C">
            <w:pPr>
              <w:widowControl w:val="0"/>
              <w:spacing w:line="240" w:lineRule="auto"/>
            </w:pPr>
            <w:r w:rsidRPr="001F342C">
              <w:rPr>
                <w:b/>
              </w:rPr>
              <w:t>D1.5.K-2</w:t>
            </w:r>
            <w:r w:rsidRPr="001F342C">
              <w:t>. Determine the kinds of sources that will be helpful in answering compelling and supporting questions, taking into consideration multiple points of vie</w:t>
            </w:r>
            <w:bookmarkStart w:id="0" w:name="_GoBack"/>
            <w:bookmarkEnd w:id="0"/>
            <w:r w:rsidRPr="001F342C">
              <w:t>w represented in the sources, the types of sources available, and the potential uses of the sources.</w:t>
            </w:r>
          </w:p>
          <w:p w:rsidR="001F342C" w:rsidRPr="001F342C" w:rsidRDefault="001F342C" w:rsidP="001F342C">
            <w:pPr>
              <w:widowControl w:val="0"/>
              <w:spacing w:line="240" w:lineRule="auto"/>
              <w:rPr>
                <w:u w:val="single"/>
              </w:rPr>
            </w:pPr>
            <w:r w:rsidRPr="001F342C">
              <w:rPr>
                <w:b/>
                <w:u w:val="single"/>
              </w:rPr>
              <w:t>Evaluating sources and using evidence:</w:t>
            </w:r>
          </w:p>
          <w:p w:rsidR="001F342C" w:rsidRPr="001F342C" w:rsidRDefault="001F342C" w:rsidP="001F342C">
            <w:pPr>
              <w:widowControl w:val="0"/>
              <w:spacing w:line="240" w:lineRule="auto"/>
            </w:pPr>
            <w:r w:rsidRPr="001F342C">
              <w:rPr>
                <w:b/>
              </w:rPr>
              <w:t>D3.1.9-12</w:t>
            </w:r>
            <w:r w:rsidRPr="001F342C">
              <w:t>. Gather relevant information from multiple sources representing a wide range of views while using the origin, authority, structure, context, and corroborative value of the sources to guide the selection.</w:t>
            </w:r>
          </w:p>
          <w:p w:rsidR="001F342C" w:rsidRPr="001F342C" w:rsidRDefault="001F342C" w:rsidP="001F342C">
            <w:pPr>
              <w:widowControl w:val="0"/>
              <w:spacing w:line="240" w:lineRule="auto"/>
              <w:rPr>
                <w:u w:val="single"/>
              </w:rPr>
            </w:pPr>
            <w:r w:rsidRPr="001F342C">
              <w:rPr>
                <w:b/>
                <w:u w:val="single"/>
              </w:rPr>
              <w:t>Communicating conclusions:</w:t>
            </w:r>
          </w:p>
          <w:p w:rsidR="001F342C" w:rsidRDefault="001F342C" w:rsidP="001F342C">
            <w:pPr>
              <w:widowControl w:val="0"/>
              <w:spacing w:line="240" w:lineRule="auto"/>
            </w:pPr>
            <w:r w:rsidRPr="001F342C">
              <w:rPr>
                <w:b/>
              </w:rPr>
              <w:t>D4.3.9-12</w:t>
            </w:r>
            <w:r w:rsidRPr="001F342C">
              <w:t>. 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tc>
      </w:tr>
    </w:tbl>
    <w:p w:rsidR="003E6C03" w:rsidRDefault="003E6C03"/>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0"/>
        <w:gridCol w:w="7460"/>
      </w:tblGrid>
      <w:tr w:rsidR="003E6C03" w:rsidTr="001F342C">
        <w:trPr>
          <w:trHeight w:val="420"/>
        </w:trPr>
        <w:tc>
          <w:tcPr>
            <w:tcW w:w="9360" w:type="dxa"/>
            <w:gridSpan w:val="2"/>
            <w:shd w:val="clear" w:color="auto" w:fill="92CDDC" w:themeFill="accent5" w:themeFillTint="99"/>
            <w:tcMar>
              <w:top w:w="100" w:type="dxa"/>
              <w:left w:w="100" w:type="dxa"/>
              <w:bottom w:w="100" w:type="dxa"/>
              <w:right w:w="100" w:type="dxa"/>
            </w:tcMar>
          </w:tcPr>
          <w:p w:rsidR="003E6C03" w:rsidRDefault="001F342C">
            <w:pPr>
              <w:widowControl w:val="0"/>
              <w:spacing w:line="240" w:lineRule="auto"/>
              <w:jc w:val="center"/>
            </w:pPr>
            <w:r>
              <w:rPr>
                <w:b/>
              </w:rPr>
              <w:t>Oceti Sakowin Essential Understandings:</w:t>
            </w:r>
          </w:p>
        </w:tc>
      </w:tr>
      <w:tr w:rsidR="003E6C03" w:rsidTr="001F342C">
        <w:tc>
          <w:tcPr>
            <w:tcW w:w="1900" w:type="dxa"/>
            <w:tcMar>
              <w:top w:w="100" w:type="dxa"/>
              <w:left w:w="100" w:type="dxa"/>
              <w:bottom w:w="100" w:type="dxa"/>
              <w:right w:w="100" w:type="dxa"/>
            </w:tcMar>
          </w:tcPr>
          <w:p w:rsidR="003E6C03" w:rsidRDefault="001F342C">
            <w:pPr>
              <w:widowControl w:val="0"/>
              <w:spacing w:line="240" w:lineRule="auto"/>
            </w:pPr>
            <w:r>
              <w:rPr>
                <w:b/>
              </w:rPr>
              <w:t>Essential Understanding:</w:t>
            </w:r>
          </w:p>
        </w:tc>
        <w:tc>
          <w:tcPr>
            <w:tcW w:w="7460" w:type="dxa"/>
            <w:tcMar>
              <w:top w:w="100" w:type="dxa"/>
              <w:left w:w="100" w:type="dxa"/>
              <w:bottom w:w="100" w:type="dxa"/>
              <w:right w:w="100" w:type="dxa"/>
            </w:tcMar>
          </w:tcPr>
          <w:p w:rsidR="003E6C03" w:rsidRDefault="001F342C">
            <w:pPr>
              <w:widowControl w:val="0"/>
              <w:spacing w:line="240" w:lineRule="auto"/>
            </w:pPr>
            <w:r>
              <w:rPr>
                <w:b/>
              </w:rPr>
              <w:t>Descriptive connection between SS and OSEU:</w:t>
            </w:r>
          </w:p>
        </w:tc>
      </w:tr>
      <w:tr w:rsidR="003E6C03" w:rsidTr="001F342C">
        <w:tc>
          <w:tcPr>
            <w:tcW w:w="1900" w:type="dxa"/>
            <w:tcMar>
              <w:top w:w="100" w:type="dxa"/>
              <w:left w:w="100" w:type="dxa"/>
              <w:bottom w:w="100" w:type="dxa"/>
              <w:right w:w="100" w:type="dxa"/>
            </w:tcMar>
            <w:vAlign w:val="center"/>
          </w:tcPr>
          <w:p w:rsidR="003E6C03" w:rsidRDefault="00F4261C" w:rsidP="001F342C">
            <w:pPr>
              <w:widowControl w:val="0"/>
              <w:spacing w:line="240" w:lineRule="auto"/>
              <w:jc w:val="center"/>
            </w:pPr>
            <w:hyperlink r:id="rId9">
              <w:r w:rsidR="001F342C">
                <w:rPr>
                  <w:color w:val="1155CC"/>
                  <w:u w:val="single"/>
                </w:rPr>
                <w:t>OSEU 1</w:t>
              </w:r>
            </w:hyperlink>
          </w:p>
          <w:p w:rsidR="003E6C03" w:rsidRDefault="003E6C03" w:rsidP="001F342C">
            <w:pPr>
              <w:widowControl w:val="0"/>
              <w:spacing w:line="240" w:lineRule="auto"/>
              <w:jc w:val="center"/>
            </w:pPr>
          </w:p>
          <w:p w:rsidR="003E6C03" w:rsidRDefault="003E6C03" w:rsidP="001F342C">
            <w:pPr>
              <w:widowControl w:val="0"/>
              <w:spacing w:line="240" w:lineRule="auto"/>
              <w:jc w:val="center"/>
            </w:pPr>
          </w:p>
          <w:p w:rsidR="003E6C03" w:rsidRDefault="003E6C03" w:rsidP="001F342C">
            <w:pPr>
              <w:widowControl w:val="0"/>
              <w:spacing w:line="240" w:lineRule="auto"/>
              <w:jc w:val="center"/>
            </w:pPr>
          </w:p>
        </w:tc>
        <w:tc>
          <w:tcPr>
            <w:tcW w:w="7460" w:type="dxa"/>
            <w:tcMar>
              <w:top w:w="100" w:type="dxa"/>
              <w:left w:w="100" w:type="dxa"/>
              <w:bottom w:w="100" w:type="dxa"/>
              <w:right w:w="100" w:type="dxa"/>
            </w:tcMar>
          </w:tcPr>
          <w:p w:rsidR="003E6C03" w:rsidRDefault="001F342C">
            <w:pPr>
              <w:widowControl w:val="0"/>
              <w:spacing w:line="240" w:lineRule="auto"/>
            </w:pPr>
            <w:r>
              <w:t xml:space="preserve">Maps provide a spatial perspective of </w:t>
            </w:r>
            <w:r w:rsidR="00F4261C">
              <w:t>the land</w:t>
            </w:r>
            <w:r>
              <w:t xml:space="preserve"> base and natural resources of the Oceti Sakowin. </w:t>
            </w:r>
          </w:p>
          <w:p w:rsidR="003E6C03" w:rsidRDefault="001F342C">
            <w:pPr>
              <w:widowControl w:val="0"/>
              <w:spacing w:line="240" w:lineRule="auto"/>
            </w:pPr>
            <w:r>
              <w:t xml:space="preserve">Characteristics such as government, natural resources and dialects of Oceti Sakowin tribes may vary based on location. </w:t>
            </w:r>
          </w:p>
        </w:tc>
      </w:tr>
      <w:tr w:rsidR="003E6C03" w:rsidTr="001F342C">
        <w:tc>
          <w:tcPr>
            <w:tcW w:w="1900" w:type="dxa"/>
            <w:tcMar>
              <w:top w:w="100" w:type="dxa"/>
              <w:left w:w="100" w:type="dxa"/>
              <w:bottom w:w="100" w:type="dxa"/>
              <w:right w:w="100" w:type="dxa"/>
            </w:tcMar>
            <w:vAlign w:val="center"/>
          </w:tcPr>
          <w:p w:rsidR="003E6C03" w:rsidRDefault="00F4261C" w:rsidP="001F342C">
            <w:pPr>
              <w:widowControl w:val="0"/>
              <w:spacing w:line="240" w:lineRule="auto"/>
              <w:jc w:val="center"/>
            </w:pPr>
            <w:hyperlink r:id="rId10">
              <w:r w:rsidR="001F342C">
                <w:rPr>
                  <w:color w:val="1155CC"/>
                  <w:u w:val="single"/>
                </w:rPr>
                <w:t>OSEU 3</w:t>
              </w:r>
            </w:hyperlink>
          </w:p>
        </w:tc>
        <w:tc>
          <w:tcPr>
            <w:tcW w:w="7460" w:type="dxa"/>
            <w:tcMar>
              <w:top w:w="100" w:type="dxa"/>
              <w:left w:w="100" w:type="dxa"/>
              <w:bottom w:w="100" w:type="dxa"/>
              <w:right w:w="100" w:type="dxa"/>
            </w:tcMar>
          </w:tcPr>
          <w:p w:rsidR="003E6C03" w:rsidRDefault="001F342C">
            <w:pPr>
              <w:widowControl w:val="0"/>
              <w:spacing w:line="240" w:lineRule="auto"/>
            </w:pPr>
            <w:r>
              <w:t>Location of the Oceti Sakowin provides diversity in origin, thought, and philosophy.</w:t>
            </w:r>
          </w:p>
        </w:tc>
      </w:tr>
      <w:tr w:rsidR="003E6C03" w:rsidTr="001F342C">
        <w:tc>
          <w:tcPr>
            <w:tcW w:w="1900" w:type="dxa"/>
            <w:tcMar>
              <w:top w:w="100" w:type="dxa"/>
              <w:left w:w="100" w:type="dxa"/>
              <w:bottom w:w="100" w:type="dxa"/>
              <w:right w:w="100" w:type="dxa"/>
            </w:tcMar>
            <w:vAlign w:val="center"/>
          </w:tcPr>
          <w:p w:rsidR="003E6C03" w:rsidRDefault="00F4261C" w:rsidP="001F342C">
            <w:pPr>
              <w:widowControl w:val="0"/>
              <w:spacing w:line="240" w:lineRule="auto"/>
              <w:jc w:val="center"/>
            </w:pPr>
            <w:hyperlink r:id="rId11">
              <w:r w:rsidR="001F342C">
                <w:rPr>
                  <w:color w:val="1155CC"/>
                  <w:u w:val="single"/>
                </w:rPr>
                <w:t>OSEU 5</w:t>
              </w:r>
            </w:hyperlink>
          </w:p>
        </w:tc>
        <w:tc>
          <w:tcPr>
            <w:tcW w:w="7460" w:type="dxa"/>
            <w:tcMar>
              <w:top w:w="100" w:type="dxa"/>
              <w:left w:w="100" w:type="dxa"/>
              <w:bottom w:w="100" w:type="dxa"/>
              <w:right w:w="100" w:type="dxa"/>
            </w:tcMar>
          </w:tcPr>
          <w:p w:rsidR="003E6C03" w:rsidRDefault="001F342C">
            <w:pPr>
              <w:widowControl w:val="0"/>
              <w:spacing w:line="240" w:lineRule="auto"/>
            </w:pPr>
            <w:r>
              <w:t xml:space="preserve">Historical policies, acts and agreements can illustrate a diminishing land base and a regrowth with new policies on tribal land ownership. </w:t>
            </w:r>
          </w:p>
        </w:tc>
      </w:tr>
    </w:tbl>
    <w:p w:rsidR="003E6C03" w:rsidRDefault="003E6C03"/>
    <w:sectPr w:rsidR="003E6C0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42C" w:rsidRDefault="001F342C" w:rsidP="001F342C">
      <w:pPr>
        <w:spacing w:line="240" w:lineRule="auto"/>
      </w:pPr>
      <w:r>
        <w:separator/>
      </w:r>
    </w:p>
  </w:endnote>
  <w:endnote w:type="continuationSeparator" w:id="0">
    <w:p w:rsidR="001F342C" w:rsidRDefault="001F342C" w:rsidP="001F34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42C" w:rsidRDefault="001F342C" w:rsidP="001F342C">
      <w:pPr>
        <w:spacing w:line="240" w:lineRule="auto"/>
      </w:pPr>
      <w:r>
        <w:separator/>
      </w:r>
    </w:p>
  </w:footnote>
  <w:footnote w:type="continuationSeparator" w:id="0">
    <w:p w:rsidR="001F342C" w:rsidRDefault="001F342C" w:rsidP="001F342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42C" w:rsidRDefault="001F342C" w:rsidP="001F342C">
    <w:pPr>
      <w:jc w:val="center"/>
    </w:pPr>
    <w:r>
      <w:rPr>
        <w:b/>
        <w:sz w:val="24"/>
        <w:szCs w:val="24"/>
      </w:rPr>
      <w:t>SD Social Studies State Standards Disaggregated Template</w:t>
    </w:r>
  </w:p>
  <w:p w:rsidR="001F342C" w:rsidRDefault="001F342C" w:rsidP="001F342C"/>
  <w:p w:rsidR="001F342C" w:rsidRDefault="001F34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F071A"/>
    <w:multiLevelType w:val="multilevel"/>
    <w:tmpl w:val="3086E5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E6C03"/>
    <w:rsid w:val="001F342C"/>
    <w:rsid w:val="003E6C03"/>
    <w:rsid w:val="00B64005"/>
    <w:rsid w:val="00F42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1F342C"/>
    <w:pPr>
      <w:tabs>
        <w:tab w:val="center" w:pos="4680"/>
        <w:tab w:val="right" w:pos="9360"/>
      </w:tabs>
      <w:spacing w:line="240" w:lineRule="auto"/>
    </w:pPr>
  </w:style>
  <w:style w:type="character" w:customStyle="1" w:styleId="HeaderChar">
    <w:name w:val="Header Char"/>
    <w:basedOn w:val="DefaultParagraphFont"/>
    <w:link w:val="Header"/>
    <w:uiPriority w:val="99"/>
    <w:rsid w:val="001F342C"/>
  </w:style>
  <w:style w:type="paragraph" w:styleId="Footer">
    <w:name w:val="footer"/>
    <w:basedOn w:val="Normal"/>
    <w:link w:val="FooterChar"/>
    <w:uiPriority w:val="99"/>
    <w:unhideWhenUsed/>
    <w:rsid w:val="001F342C"/>
    <w:pPr>
      <w:tabs>
        <w:tab w:val="center" w:pos="4680"/>
        <w:tab w:val="right" w:pos="9360"/>
      </w:tabs>
      <w:spacing w:line="240" w:lineRule="auto"/>
    </w:pPr>
  </w:style>
  <w:style w:type="character" w:customStyle="1" w:styleId="FooterChar">
    <w:name w:val="Footer Char"/>
    <w:basedOn w:val="DefaultParagraphFont"/>
    <w:link w:val="Footer"/>
    <w:uiPriority w:val="99"/>
    <w:rsid w:val="001F34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1F342C"/>
    <w:pPr>
      <w:tabs>
        <w:tab w:val="center" w:pos="4680"/>
        <w:tab w:val="right" w:pos="9360"/>
      </w:tabs>
      <w:spacing w:line="240" w:lineRule="auto"/>
    </w:pPr>
  </w:style>
  <w:style w:type="character" w:customStyle="1" w:styleId="HeaderChar">
    <w:name w:val="Header Char"/>
    <w:basedOn w:val="DefaultParagraphFont"/>
    <w:link w:val="Header"/>
    <w:uiPriority w:val="99"/>
    <w:rsid w:val="001F342C"/>
  </w:style>
  <w:style w:type="paragraph" w:styleId="Footer">
    <w:name w:val="footer"/>
    <w:basedOn w:val="Normal"/>
    <w:link w:val="FooterChar"/>
    <w:uiPriority w:val="99"/>
    <w:unhideWhenUsed/>
    <w:rsid w:val="001F342C"/>
    <w:pPr>
      <w:tabs>
        <w:tab w:val="center" w:pos="4680"/>
        <w:tab w:val="right" w:pos="9360"/>
      </w:tabs>
      <w:spacing w:line="240" w:lineRule="auto"/>
    </w:pPr>
  </w:style>
  <w:style w:type="character" w:customStyle="1" w:styleId="FooterChar">
    <w:name w:val="Footer Char"/>
    <w:basedOn w:val="DefaultParagraphFont"/>
    <w:link w:val="Footer"/>
    <w:uiPriority w:val="99"/>
    <w:rsid w:val="001F3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olakotaproject.org/oseu-five/" TargetMode="External"/><Relationship Id="rId5" Type="http://schemas.openxmlformats.org/officeDocument/2006/relationships/webSettings" Target="webSettings.xml"/><Relationship Id="rId10" Type="http://schemas.openxmlformats.org/officeDocument/2006/relationships/hyperlink" Target="http://www.wolakotaproject.org/oseu-three/" TargetMode="External"/><Relationship Id="rId4" Type="http://schemas.openxmlformats.org/officeDocument/2006/relationships/settings" Target="settings.xml"/><Relationship Id="rId9" Type="http://schemas.openxmlformats.org/officeDocument/2006/relationships/hyperlink" Target="http://www.wolakotaproject.org/oceti-sakowin-essential-understanding-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439</Words>
  <Characters>2506</Characters>
  <Application>Microsoft Office Word</Application>
  <DocSecurity>0</DocSecurity>
  <Lines>20</Lines>
  <Paragraphs>5</Paragraphs>
  <ScaleCrop>false</ScaleCrop>
  <Company>State of South Dakota</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2015-09-30T21:00:00Z</dcterms:created>
  <dcterms:modified xsi:type="dcterms:W3CDTF">2015-10-07T20:12:00Z</dcterms:modified>
</cp:coreProperties>
</file>