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781DDCD8" w:rsidR="00CE1F53" w:rsidRPr="00A02105" w:rsidRDefault="00CA3834" w:rsidP="005D0B67">
            <w:pPr>
              <w:rPr>
                <w:rFonts w:ascii="Arial" w:hAnsi="Arial" w:cs="Arial"/>
              </w:rPr>
            </w:pPr>
            <w:r w:rsidRPr="00CA3834">
              <w:rPr>
                <w:rFonts w:ascii="Arial" w:hAnsi="Arial" w:cs="Arial"/>
              </w:rPr>
              <w:t>4th grade math 4.NF.1; 4.MD.4; 4.NF.4; 4.MD.2; 5.MD.3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2CAE41FB" w:rsidR="005905AE" w:rsidRPr="00A02105" w:rsidRDefault="00CA3834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interval of instruction: pre assess at the beginning of the year and post assess in April.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426093C" w:rsidR="008D43D1" w:rsidRPr="00A02105" w:rsidRDefault="00CA3834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SLO work group assessment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8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A383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4F617-7B4E-DF45-BE6E-80D7D19F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626</Words>
  <Characters>3573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2016-07-20T18:09:00Z</dcterms:created>
  <dcterms:modified xsi:type="dcterms:W3CDTF">2016-07-20T18:09:00Z</dcterms:modified>
</cp:coreProperties>
</file>