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DA" w:rsidRPr="00697BB7" w:rsidRDefault="00E95CDA" w:rsidP="00E95CDA">
      <w:pPr>
        <w:pStyle w:val="Title"/>
        <w:spacing w:after="0"/>
        <w:ind w:left="-720"/>
        <w:rPr>
          <w:b/>
          <w:color w:val="auto"/>
          <w:sz w:val="28"/>
        </w:rPr>
      </w:pPr>
      <w:r w:rsidRPr="00697BB7">
        <w:rPr>
          <w:b/>
          <w:color w:val="auto"/>
          <w:sz w:val="28"/>
        </w:rPr>
        <w:t xml:space="preserve">Perkins Reserve Grants for </w:t>
      </w:r>
    </w:p>
    <w:p w:rsidR="00E95CDA" w:rsidRPr="00697BB7" w:rsidRDefault="00E95CDA" w:rsidP="00E95CDA">
      <w:pPr>
        <w:pStyle w:val="Title"/>
        <w:spacing w:after="0"/>
        <w:ind w:left="-720"/>
        <w:rPr>
          <w:b/>
          <w:color w:val="auto"/>
          <w:sz w:val="28"/>
        </w:rPr>
      </w:pPr>
      <w:r w:rsidRPr="00697BB7">
        <w:rPr>
          <w:b/>
          <w:color w:val="auto"/>
          <w:sz w:val="28"/>
        </w:rPr>
        <w:t>Career &amp; Technical Education (CTE)</w:t>
      </w:r>
    </w:p>
    <w:p w:rsidR="00A500CB" w:rsidRDefault="00E95CDA" w:rsidP="00E95CDA">
      <w:pPr>
        <w:ind w:left="-720"/>
        <w:rPr>
          <w:i/>
        </w:rPr>
      </w:pPr>
      <w:r w:rsidRPr="00E95CDA">
        <w:rPr>
          <w:rStyle w:val="Strong"/>
          <w:i/>
          <w:noProof/>
        </w:rPr>
        <mc:AlternateContent>
          <mc:Choice Requires="wps">
            <w:drawing>
              <wp:anchor distT="91440" distB="91440" distL="114300" distR="114300" simplePos="0" relativeHeight="251659264" behindDoc="1" locked="0" layoutInCell="0" allowOverlap="1" wp14:anchorId="5C8CE8D2" wp14:editId="24CCA452">
                <wp:simplePos x="0" y="0"/>
                <wp:positionH relativeFrom="margin">
                  <wp:posOffset>-524510</wp:posOffset>
                </wp:positionH>
                <wp:positionV relativeFrom="margin">
                  <wp:posOffset>819150</wp:posOffset>
                </wp:positionV>
                <wp:extent cx="6848475" cy="1809750"/>
                <wp:effectExtent l="38100" t="38100" r="142875" b="114300"/>
                <wp:wrapThrough wrapText="bothSides">
                  <wp:wrapPolygon edited="0">
                    <wp:start x="60" y="-455"/>
                    <wp:lineTo x="-120" y="-227"/>
                    <wp:lineTo x="-120" y="21600"/>
                    <wp:lineTo x="-60" y="22737"/>
                    <wp:lineTo x="21930" y="22737"/>
                    <wp:lineTo x="21991" y="21827"/>
                    <wp:lineTo x="21991" y="3411"/>
                    <wp:lineTo x="21870" y="0"/>
                    <wp:lineTo x="21870" y="-455"/>
                    <wp:lineTo x="60" y="-455"/>
                  </wp:wrapPolygon>
                </wp:wrapThrough>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48475" cy="18097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E95CDA" w:rsidRDefault="00E95CDA" w:rsidP="00E95CDA">
                            <w:pPr>
                              <w:spacing w:after="0"/>
                              <w:rPr>
                                <w:rStyle w:val="Strong"/>
                                <w:b w:val="0"/>
                              </w:rPr>
                            </w:pPr>
                            <w:r>
                              <w:rPr>
                                <w:rStyle w:val="Strong"/>
                              </w:rPr>
                              <w:t>Proposal</w:t>
                            </w:r>
                            <w:r w:rsidRPr="004E2B3C">
                              <w:rPr>
                                <w:rStyle w:val="Strong"/>
                              </w:rPr>
                              <w:t xml:space="preserve"> </w:t>
                            </w:r>
                            <w:r>
                              <w:rPr>
                                <w:rStyle w:val="Strong"/>
                              </w:rPr>
                              <w:t>d</w:t>
                            </w:r>
                            <w:r w:rsidRPr="004E2B3C">
                              <w:rPr>
                                <w:rStyle w:val="Strong"/>
                              </w:rPr>
                              <w:t xml:space="preserve">eadline: </w:t>
                            </w:r>
                            <w:r>
                              <w:rPr>
                                <w:rStyle w:val="Strong"/>
                                <w:b w:val="0"/>
                              </w:rPr>
                              <w:t>Monday</w:t>
                            </w:r>
                            <w:r w:rsidRPr="004E2B3C">
                              <w:rPr>
                                <w:rStyle w:val="Strong"/>
                              </w:rPr>
                              <w:t xml:space="preserve">, </w:t>
                            </w:r>
                            <w:r>
                              <w:rPr>
                                <w:rStyle w:val="Strong"/>
                                <w:b w:val="0"/>
                              </w:rPr>
                              <w:t>March 13</w:t>
                            </w:r>
                            <w:r w:rsidRPr="00E95CDA">
                              <w:rPr>
                                <w:rStyle w:val="Strong"/>
                                <w:b w:val="0"/>
                              </w:rPr>
                              <w:t>, 2017</w:t>
                            </w:r>
                            <w:r>
                              <w:rPr>
                                <w:rStyle w:val="Strong"/>
                              </w:rPr>
                              <w:t xml:space="preserve"> </w:t>
                            </w:r>
                          </w:p>
                          <w:p w:rsidR="00E95CDA" w:rsidRPr="004E2B3C" w:rsidRDefault="00E95CDA" w:rsidP="00E95CDA">
                            <w:pPr>
                              <w:spacing w:after="0"/>
                              <w:rPr>
                                <w:rStyle w:val="Strong"/>
                                <w:b w:val="0"/>
                              </w:rPr>
                            </w:pPr>
                            <w:r w:rsidRPr="004E2B3C">
                              <w:rPr>
                                <w:rStyle w:val="Strong"/>
                              </w:rPr>
                              <w:t xml:space="preserve">All proposals must be electronically submitted, as a single PDF document, via attachment to </w:t>
                            </w:r>
                            <w:hyperlink r:id="rId9" w:history="1">
                              <w:r w:rsidRPr="00B86BD3">
                                <w:rPr>
                                  <w:rStyle w:val="Hyperlink"/>
                                </w:rPr>
                                <w:t>erin.larsen@state.sd.us</w:t>
                              </w:r>
                            </w:hyperlink>
                            <w:r w:rsidRPr="004E2B3C">
                              <w:rPr>
                                <w:rStyle w:val="Strong"/>
                              </w:rPr>
                              <w:t xml:space="preserve">. </w:t>
                            </w:r>
                          </w:p>
                          <w:p w:rsidR="00E95CDA" w:rsidRPr="00E95CDA" w:rsidRDefault="00E95CDA" w:rsidP="00E95CDA">
                            <w:pPr>
                              <w:spacing w:after="0"/>
                              <w:rPr>
                                <w:rStyle w:val="Strong"/>
                                <w:b w:val="0"/>
                              </w:rPr>
                            </w:pPr>
                            <w:r w:rsidRPr="004E2B3C">
                              <w:rPr>
                                <w:rStyle w:val="Strong"/>
                              </w:rPr>
                              <w:t xml:space="preserve">Award notification: </w:t>
                            </w:r>
                            <w:r>
                              <w:rPr>
                                <w:rStyle w:val="Strong"/>
                                <w:b w:val="0"/>
                              </w:rPr>
                              <w:t>Monday</w:t>
                            </w:r>
                            <w:r>
                              <w:rPr>
                                <w:rStyle w:val="Strong"/>
                              </w:rPr>
                              <w:t>,</w:t>
                            </w:r>
                            <w:r>
                              <w:rPr>
                                <w:rStyle w:val="Strong"/>
                                <w:b w:val="0"/>
                              </w:rPr>
                              <w:t xml:space="preserve"> March 27, </w:t>
                            </w:r>
                            <w:r w:rsidRPr="00E95CDA">
                              <w:rPr>
                                <w:rStyle w:val="Strong"/>
                                <w:b w:val="0"/>
                              </w:rPr>
                              <w:t>2017</w:t>
                            </w:r>
                          </w:p>
                          <w:p w:rsidR="00E95CDA" w:rsidRPr="004E2B3C" w:rsidRDefault="00E95CDA" w:rsidP="00E95CDA">
                            <w:pPr>
                              <w:spacing w:after="0"/>
                              <w:rPr>
                                <w:rStyle w:val="Strong"/>
                                <w:b w:val="0"/>
                              </w:rPr>
                            </w:pPr>
                            <w:r w:rsidRPr="00F61C4A">
                              <w:rPr>
                                <w:rStyle w:val="Strong"/>
                              </w:rPr>
                              <w:t>Scope:</w:t>
                            </w:r>
                            <w:r w:rsidRPr="004E2B3C">
                              <w:rPr>
                                <w:rStyle w:val="Strong"/>
                              </w:rPr>
                              <w:t xml:space="preserve"> </w:t>
                            </w:r>
                            <w:r w:rsidRPr="00E95CDA">
                              <w:rPr>
                                <w:rStyle w:val="Strong"/>
                                <w:b w:val="0"/>
                              </w:rPr>
                              <w:t>Grant awards will cap at $30,000 each. Projects may begin April 1, 2017, and funds must be obligated prior to June 30, 2017. Projects must be completed by August 15, 2017.</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1.3pt;margin-top:64.5pt;width:539.25pt;height:142.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" o:allowincell="f" fillcolor="white [3212]" strokecolor="gray [1629]" strokeweight="1.5pt">
                <v:shadow on="t" type="perspective" color="black" opacity="26214f" origin="-.5,-.5" offset=".74836mm,.74836mm" matrix="65864f,,,65864f"/>
                <v:textbox inset="21.6pt,21.6pt,21.6pt,21.6pt">
                  <w:txbxContent>
                    <w:p w:rsidR="00E95CDA" w:rsidRDefault="00E95CDA" w:rsidP="00E95CDA">
                      <w:pPr>
                        <w:spacing w:after="0"/>
                        <w:rPr>
                          <w:rStyle w:val="Strong"/>
                          <w:b w:val="0"/>
                        </w:rPr>
                      </w:pPr>
                      <w:r>
                        <w:rPr>
                          <w:rStyle w:val="Strong"/>
                        </w:rPr>
                        <w:t>Proposal</w:t>
                      </w:r>
                      <w:r w:rsidRPr="004E2B3C">
                        <w:rPr>
                          <w:rStyle w:val="Strong"/>
                        </w:rPr>
                        <w:t xml:space="preserve"> </w:t>
                      </w:r>
                      <w:r>
                        <w:rPr>
                          <w:rStyle w:val="Strong"/>
                        </w:rPr>
                        <w:t>d</w:t>
                      </w:r>
                      <w:r w:rsidRPr="004E2B3C">
                        <w:rPr>
                          <w:rStyle w:val="Strong"/>
                        </w:rPr>
                        <w:t xml:space="preserve">eadline: </w:t>
                      </w:r>
                      <w:r>
                        <w:rPr>
                          <w:rStyle w:val="Strong"/>
                          <w:b w:val="0"/>
                        </w:rPr>
                        <w:t>Monday</w:t>
                      </w:r>
                      <w:r w:rsidRPr="004E2B3C">
                        <w:rPr>
                          <w:rStyle w:val="Strong"/>
                        </w:rPr>
                        <w:t xml:space="preserve">, </w:t>
                      </w:r>
                      <w:r>
                        <w:rPr>
                          <w:rStyle w:val="Strong"/>
                          <w:b w:val="0"/>
                        </w:rPr>
                        <w:t>March 13</w:t>
                      </w:r>
                      <w:r w:rsidRPr="00E95CDA">
                        <w:rPr>
                          <w:rStyle w:val="Strong"/>
                          <w:b w:val="0"/>
                        </w:rPr>
                        <w:t>, 2017</w:t>
                      </w:r>
                      <w:r>
                        <w:rPr>
                          <w:rStyle w:val="Strong"/>
                        </w:rPr>
                        <w:t xml:space="preserve"> </w:t>
                      </w:r>
                    </w:p>
                    <w:p w:rsidR="00E95CDA" w:rsidRPr="004E2B3C" w:rsidRDefault="00E95CDA" w:rsidP="00E95CDA">
                      <w:pPr>
                        <w:spacing w:after="0"/>
                        <w:rPr>
                          <w:rStyle w:val="Strong"/>
                          <w:b w:val="0"/>
                        </w:rPr>
                      </w:pPr>
                      <w:r w:rsidRPr="004E2B3C">
                        <w:rPr>
                          <w:rStyle w:val="Strong"/>
                        </w:rPr>
                        <w:t xml:space="preserve">All proposals must be electronically submitted, as a single PDF document, via attachment to </w:t>
                      </w:r>
                      <w:hyperlink r:id="rId10" w:history="1">
                        <w:r w:rsidRPr="00B86BD3">
                          <w:rPr>
                            <w:rStyle w:val="Hyperlink"/>
                          </w:rPr>
                          <w:t>erin.larsen@state.sd.us</w:t>
                        </w:r>
                      </w:hyperlink>
                      <w:r w:rsidRPr="004E2B3C">
                        <w:rPr>
                          <w:rStyle w:val="Strong"/>
                        </w:rPr>
                        <w:t xml:space="preserve">. </w:t>
                      </w:r>
                    </w:p>
                    <w:p w:rsidR="00E95CDA" w:rsidRPr="00E95CDA" w:rsidRDefault="00E95CDA" w:rsidP="00E95CDA">
                      <w:pPr>
                        <w:spacing w:after="0"/>
                        <w:rPr>
                          <w:rStyle w:val="Strong"/>
                          <w:b w:val="0"/>
                        </w:rPr>
                      </w:pPr>
                      <w:r w:rsidRPr="004E2B3C">
                        <w:rPr>
                          <w:rStyle w:val="Strong"/>
                        </w:rPr>
                        <w:t xml:space="preserve">Award notification: </w:t>
                      </w:r>
                      <w:r>
                        <w:rPr>
                          <w:rStyle w:val="Strong"/>
                          <w:b w:val="0"/>
                        </w:rPr>
                        <w:t>Monday</w:t>
                      </w:r>
                      <w:r>
                        <w:rPr>
                          <w:rStyle w:val="Strong"/>
                        </w:rPr>
                        <w:t>,</w:t>
                      </w:r>
                      <w:r>
                        <w:rPr>
                          <w:rStyle w:val="Strong"/>
                          <w:b w:val="0"/>
                        </w:rPr>
                        <w:t xml:space="preserve"> March 27, </w:t>
                      </w:r>
                      <w:r w:rsidRPr="00E95CDA">
                        <w:rPr>
                          <w:rStyle w:val="Strong"/>
                          <w:b w:val="0"/>
                        </w:rPr>
                        <w:t>2017</w:t>
                      </w:r>
                    </w:p>
                    <w:p w:rsidR="00E95CDA" w:rsidRPr="004E2B3C" w:rsidRDefault="00E95CDA" w:rsidP="00E95CDA">
                      <w:pPr>
                        <w:spacing w:after="0"/>
                        <w:rPr>
                          <w:rStyle w:val="Strong"/>
                          <w:b w:val="0"/>
                        </w:rPr>
                      </w:pPr>
                      <w:r w:rsidRPr="00F61C4A">
                        <w:rPr>
                          <w:rStyle w:val="Strong"/>
                        </w:rPr>
                        <w:t>Scope:</w:t>
                      </w:r>
                      <w:r w:rsidRPr="004E2B3C">
                        <w:rPr>
                          <w:rStyle w:val="Strong"/>
                        </w:rPr>
                        <w:t xml:space="preserve"> </w:t>
                      </w:r>
                      <w:r w:rsidRPr="00E95CDA">
                        <w:rPr>
                          <w:rStyle w:val="Strong"/>
                          <w:b w:val="0"/>
                        </w:rPr>
                        <w:t>Grant awards will cap at $30,000 each. Projects may begin April 1, 2017, and funds must be obligated prior to June 30, 2017. Projects must be completed by August 15, 2017.</w:t>
                      </w:r>
                    </w:p>
                  </w:txbxContent>
                </v:textbox>
                <w10:wrap type="through" anchorx="margin" anchory="margin"/>
              </v:rect>
            </w:pict>
          </mc:Fallback>
        </mc:AlternateContent>
      </w:r>
      <w:r w:rsidRPr="00E95CDA">
        <w:rPr>
          <w:i/>
        </w:rPr>
        <w:t>Request for Proposals – 2017</w:t>
      </w:r>
    </w:p>
    <w:p w:rsidR="00E95CDA" w:rsidRPr="00ED2F9B" w:rsidRDefault="00E95CDA" w:rsidP="00E95CDA">
      <w:pPr>
        <w:spacing w:after="0"/>
        <w:ind w:left="-720"/>
        <w:rPr>
          <w:rStyle w:val="Strong"/>
          <w:sz w:val="24"/>
          <w:szCs w:val="24"/>
        </w:rPr>
      </w:pPr>
      <w:r w:rsidRPr="00E95CDA">
        <w:rPr>
          <w:rStyle w:val="Strong"/>
          <w:szCs w:val="24"/>
        </w:rPr>
        <w:t>Purpose and Priorities</w:t>
      </w:r>
    </w:p>
    <w:p w:rsidR="00E95CDA" w:rsidRDefault="00E95CDA" w:rsidP="00E95CDA">
      <w:pPr>
        <w:spacing w:after="0"/>
        <w:ind w:left="-720"/>
      </w:pPr>
      <w:r>
        <w:t xml:space="preserve">Perkins Reserve Grants will provide funds to support the purchase of industry-grade classroom equipment or curricula and high-quality professional development opportunities. </w:t>
      </w:r>
    </w:p>
    <w:p w:rsidR="00E95CDA" w:rsidRDefault="00E95CDA" w:rsidP="00E95CDA">
      <w:pPr>
        <w:spacing w:after="0"/>
        <w:ind w:left="-720"/>
      </w:pPr>
    </w:p>
    <w:p w:rsidR="00E95CDA" w:rsidRDefault="00E95CDA" w:rsidP="00E95CDA">
      <w:pPr>
        <w:spacing w:after="0"/>
        <w:ind w:left="-720"/>
      </w:pPr>
      <w:r>
        <w:t>Proposals will be scored based on alignment with the following priorities:</w:t>
      </w:r>
    </w:p>
    <w:p w:rsidR="00E95CDA" w:rsidRDefault="00E95CDA" w:rsidP="00E95CDA">
      <w:pPr>
        <w:pStyle w:val="ListParagraph"/>
        <w:numPr>
          <w:ilvl w:val="0"/>
          <w:numId w:val="1"/>
        </w:numPr>
      </w:pPr>
      <w:r w:rsidRPr="00593B5D">
        <w:rPr>
          <w:b/>
        </w:rPr>
        <w:t>Student participation</w:t>
      </w:r>
      <w:r>
        <w:rPr>
          <w:b/>
        </w:rPr>
        <w:t xml:space="preserve">: </w:t>
      </w:r>
      <w:r>
        <w:t xml:space="preserve">Demonstrates a capacity for a large number of students or a sizable percentage of the participating districts’ students to benefit from the project. Details how the grant project will support student achievement and develop industry-related skills. </w:t>
      </w:r>
    </w:p>
    <w:p w:rsidR="00E95CDA" w:rsidRDefault="00E95CDA" w:rsidP="00E95CDA">
      <w:pPr>
        <w:pStyle w:val="ListParagraph"/>
        <w:numPr>
          <w:ilvl w:val="0"/>
          <w:numId w:val="1"/>
        </w:numPr>
      </w:pPr>
      <w:r w:rsidRPr="00593B5D">
        <w:rPr>
          <w:b/>
        </w:rPr>
        <w:t>South Dakota workforce</w:t>
      </w:r>
      <w:r>
        <w:rPr>
          <w:b/>
        </w:rPr>
        <w:t xml:space="preserve">: </w:t>
      </w:r>
      <w:r w:rsidRPr="008502CA">
        <w:t>Addresses</w:t>
      </w:r>
      <w:r>
        <w:rPr>
          <w:b/>
        </w:rPr>
        <w:t xml:space="preserve"> </w:t>
      </w:r>
      <w:r w:rsidRPr="008502CA">
        <w:t>workforce</w:t>
      </w:r>
      <w:r>
        <w:rPr>
          <w:b/>
        </w:rPr>
        <w:t xml:space="preserve"> </w:t>
      </w:r>
      <w:r>
        <w:t>needs</w:t>
      </w:r>
      <w:r>
        <w:rPr>
          <w:b/>
        </w:rPr>
        <w:t xml:space="preserve"> </w:t>
      </w:r>
      <w:r w:rsidRPr="00CA0421">
        <w:t>through</w:t>
      </w:r>
      <w:r>
        <w:rPr>
          <w:b/>
        </w:rPr>
        <w:t xml:space="preserve"> </w:t>
      </w:r>
      <w:r>
        <w:t xml:space="preserve">programs designed to generate student interest, knowledge and skills in high-need workforce areas (either throughout the state or regionally). </w:t>
      </w:r>
    </w:p>
    <w:p w:rsidR="00E95CDA" w:rsidRDefault="00E95CDA" w:rsidP="00E95CDA">
      <w:pPr>
        <w:pStyle w:val="ListParagraph"/>
        <w:numPr>
          <w:ilvl w:val="0"/>
          <w:numId w:val="1"/>
        </w:numPr>
      </w:pPr>
      <w:r>
        <w:rPr>
          <w:b/>
        </w:rPr>
        <w:t xml:space="preserve">Alignment with business and industry standards: </w:t>
      </w:r>
      <w:r>
        <w:t xml:space="preserve">Selected equipment, curricula or professional development opportunities reflect current industry standards. </w:t>
      </w:r>
    </w:p>
    <w:p w:rsidR="00E95CDA" w:rsidRPr="00E95CDA" w:rsidRDefault="00E95CDA" w:rsidP="00E95CDA">
      <w:pPr>
        <w:spacing w:after="0"/>
        <w:ind w:left="-720"/>
        <w:rPr>
          <w:rStyle w:val="Strong"/>
          <w:szCs w:val="24"/>
        </w:rPr>
      </w:pPr>
      <w:r w:rsidRPr="00E95CDA">
        <w:rPr>
          <w:rStyle w:val="Strong"/>
          <w:szCs w:val="24"/>
        </w:rPr>
        <w:t>Eligibility</w:t>
      </w:r>
    </w:p>
    <w:p w:rsidR="00E95CDA" w:rsidRDefault="00E95CDA" w:rsidP="0065155B">
      <w:pPr>
        <w:ind w:left="-720"/>
        <w:rPr>
          <w:rStyle w:val="Strong"/>
          <w:szCs w:val="24"/>
        </w:rPr>
      </w:pPr>
      <w:r>
        <w:t xml:space="preserve">Applications may be submitted by public school districts with approved Career &amp; Technical Education programs (or those wishing to add approved CTE programs in the 2017-18 school </w:t>
      </w:r>
      <w:proofErr w:type="gramStart"/>
      <w:r>
        <w:t>year</w:t>
      </w:r>
      <w:proofErr w:type="gramEnd"/>
      <w:r>
        <w:t xml:space="preserve">). </w:t>
      </w:r>
    </w:p>
    <w:p w:rsidR="0065155B" w:rsidRPr="0065155B" w:rsidRDefault="0065155B" w:rsidP="0065155B">
      <w:pPr>
        <w:spacing w:after="0"/>
        <w:ind w:left="-720"/>
        <w:rPr>
          <w:rStyle w:val="Strong"/>
          <w:szCs w:val="24"/>
        </w:rPr>
      </w:pPr>
      <w:r w:rsidRPr="0065155B">
        <w:rPr>
          <w:rStyle w:val="Strong"/>
          <w:szCs w:val="24"/>
        </w:rPr>
        <w:t>Maximum Grant Amount</w:t>
      </w:r>
    </w:p>
    <w:p w:rsidR="0065155B" w:rsidRDefault="0065155B" w:rsidP="0065155B">
      <w:pPr>
        <w:spacing w:after="0"/>
        <w:ind w:left="-720"/>
      </w:pPr>
      <w:r>
        <w:t>The maximum amount, per individual award, will be $30,000.</w:t>
      </w:r>
    </w:p>
    <w:p w:rsidR="002725F6" w:rsidRDefault="002725F6" w:rsidP="0065155B">
      <w:pPr>
        <w:spacing w:after="0"/>
        <w:ind w:left="-720"/>
      </w:pPr>
    </w:p>
    <w:p w:rsidR="002725F6" w:rsidRPr="002725F6" w:rsidRDefault="002725F6" w:rsidP="0065155B">
      <w:pPr>
        <w:spacing w:after="0"/>
        <w:ind w:left="-720"/>
        <w:rPr>
          <w:rStyle w:val="Strong"/>
          <w:szCs w:val="24"/>
        </w:rPr>
      </w:pPr>
      <w:r>
        <w:rPr>
          <w:b/>
        </w:rPr>
        <w:t xml:space="preserve">Grant Revenue Account Code: </w:t>
      </w:r>
      <w:r>
        <w:t>4161</w:t>
      </w:r>
      <w:r>
        <w:rPr>
          <w:b/>
        </w:rPr>
        <w:t xml:space="preserve"> </w:t>
      </w:r>
    </w:p>
    <w:p w:rsidR="0065155B" w:rsidRDefault="0065155B">
      <w:pPr>
        <w:rPr>
          <w:rStyle w:val="Strong"/>
          <w:szCs w:val="24"/>
        </w:rPr>
      </w:pPr>
      <w:r>
        <w:rPr>
          <w:rStyle w:val="Strong"/>
          <w:szCs w:val="24"/>
        </w:rPr>
        <w:br w:type="page"/>
      </w:r>
    </w:p>
    <w:p w:rsidR="00E95CDA" w:rsidRPr="00E95CDA" w:rsidRDefault="00E95CDA" w:rsidP="00E95CDA">
      <w:pPr>
        <w:spacing w:after="0"/>
        <w:ind w:left="-720"/>
        <w:rPr>
          <w:rStyle w:val="Strong"/>
          <w:szCs w:val="24"/>
        </w:rPr>
      </w:pPr>
      <w:r w:rsidRPr="00E95CDA">
        <w:rPr>
          <w:rStyle w:val="Strong"/>
          <w:szCs w:val="24"/>
        </w:rPr>
        <w:t>Use of Funds</w:t>
      </w:r>
    </w:p>
    <w:p w:rsidR="00E95CDA" w:rsidRDefault="00E95CDA" w:rsidP="00E95CDA">
      <w:pPr>
        <w:ind w:left="-720"/>
      </w:pPr>
      <w:r>
        <w:t xml:space="preserve">These funds will support the purchase of industry-grade equipment or curricula and educator training. Costs must be necessary and reasonable to complete the project; documentation must be available to support </w:t>
      </w:r>
      <w:proofErr w:type="gramStart"/>
      <w:r>
        <w:t>each  expenditure</w:t>
      </w:r>
      <w:proofErr w:type="gramEnd"/>
      <w:r>
        <w:t>.</w:t>
      </w:r>
      <w:r w:rsidR="0065155B">
        <w:t xml:space="preserve"> </w:t>
      </w:r>
      <w:r w:rsidR="0065155B">
        <w:rPr>
          <w:rStyle w:val="Strong"/>
          <w:b w:val="0"/>
        </w:rPr>
        <w:t>Possible options for equipment, curricula or training purchases are included in Appendix A.</w:t>
      </w:r>
    </w:p>
    <w:p w:rsidR="00E95CDA" w:rsidRPr="00E95CDA" w:rsidRDefault="00E95CDA" w:rsidP="00E95CDA">
      <w:pPr>
        <w:spacing w:after="0"/>
        <w:ind w:left="-720"/>
        <w:rPr>
          <w:rStyle w:val="Strong"/>
          <w:b w:val="0"/>
        </w:rPr>
      </w:pPr>
      <w:r w:rsidRPr="00E95CDA">
        <w:rPr>
          <w:rStyle w:val="Strong"/>
          <w:b w:val="0"/>
        </w:rPr>
        <w:t>Specifically, the grant funds may include (but not be limited to) the following:</w:t>
      </w:r>
    </w:p>
    <w:p w:rsidR="00E95CDA" w:rsidRPr="00E95CDA" w:rsidRDefault="00E95CDA" w:rsidP="00E95CDA">
      <w:pPr>
        <w:pStyle w:val="ListParagraph"/>
        <w:numPr>
          <w:ilvl w:val="0"/>
          <w:numId w:val="2"/>
        </w:numPr>
        <w:spacing w:after="0"/>
        <w:rPr>
          <w:rStyle w:val="Strong"/>
          <w:b w:val="0"/>
        </w:rPr>
      </w:pPr>
      <w:r w:rsidRPr="00E95CDA">
        <w:rPr>
          <w:rStyle w:val="Strong"/>
          <w:b w:val="0"/>
        </w:rPr>
        <w:t>Equipment and materials related to the content of project activities</w:t>
      </w:r>
    </w:p>
    <w:p w:rsidR="00E95CDA" w:rsidRPr="00E95CDA" w:rsidRDefault="00E95CDA" w:rsidP="00E95CDA">
      <w:pPr>
        <w:pStyle w:val="ListParagraph"/>
        <w:numPr>
          <w:ilvl w:val="0"/>
          <w:numId w:val="2"/>
        </w:numPr>
        <w:spacing w:after="0"/>
        <w:rPr>
          <w:rStyle w:val="Strong"/>
          <w:b w:val="0"/>
        </w:rPr>
      </w:pPr>
      <w:r w:rsidRPr="00E95CDA">
        <w:rPr>
          <w:rStyle w:val="Strong"/>
          <w:b w:val="0"/>
        </w:rPr>
        <w:t xml:space="preserve">Training and travel costs for personnel directly implementing the project </w:t>
      </w:r>
    </w:p>
    <w:p w:rsidR="00E95CDA" w:rsidRPr="0065155B" w:rsidRDefault="00E95CDA" w:rsidP="00E95CDA">
      <w:pPr>
        <w:pStyle w:val="ListParagraph"/>
        <w:numPr>
          <w:ilvl w:val="0"/>
          <w:numId w:val="2"/>
        </w:numPr>
        <w:spacing w:after="0"/>
        <w:rPr>
          <w:rStyle w:val="Strong"/>
          <w:b w:val="0"/>
        </w:rPr>
      </w:pPr>
      <w:r w:rsidRPr="0065155B">
        <w:rPr>
          <w:rStyle w:val="Strong"/>
          <w:b w:val="0"/>
        </w:rPr>
        <w:t>Expenses associated with student assessments/industry certifications</w:t>
      </w:r>
    </w:p>
    <w:p w:rsidR="00E95CDA" w:rsidRPr="00E95CDA" w:rsidRDefault="00E95CDA" w:rsidP="00E95CDA">
      <w:pPr>
        <w:spacing w:after="0"/>
        <w:ind w:left="-720"/>
        <w:rPr>
          <w:rStyle w:val="Strong"/>
          <w:b w:val="0"/>
        </w:rPr>
      </w:pPr>
      <w:r w:rsidRPr="00E95CDA">
        <w:rPr>
          <w:rStyle w:val="Strong"/>
          <w:b w:val="0"/>
        </w:rPr>
        <w:t>Grant funds cannot be used for:</w:t>
      </w:r>
    </w:p>
    <w:p w:rsidR="00E95CDA" w:rsidRPr="00E95CDA" w:rsidRDefault="00E95CDA" w:rsidP="00E95CDA">
      <w:pPr>
        <w:pStyle w:val="ListParagraph"/>
        <w:numPr>
          <w:ilvl w:val="0"/>
          <w:numId w:val="3"/>
        </w:numPr>
        <w:spacing w:after="0"/>
        <w:rPr>
          <w:rStyle w:val="Strong"/>
          <w:b w:val="0"/>
        </w:rPr>
      </w:pPr>
      <w:r w:rsidRPr="00E95CDA">
        <w:rPr>
          <w:rStyle w:val="Strong"/>
          <w:b w:val="0"/>
        </w:rPr>
        <w:t>Salaries and benefits</w:t>
      </w:r>
    </w:p>
    <w:p w:rsidR="00E95CDA" w:rsidRPr="00E95CDA" w:rsidRDefault="00E95CDA" w:rsidP="00E95CDA">
      <w:pPr>
        <w:pStyle w:val="ListParagraph"/>
        <w:numPr>
          <w:ilvl w:val="0"/>
          <w:numId w:val="3"/>
        </w:numPr>
        <w:spacing w:after="0"/>
        <w:rPr>
          <w:rStyle w:val="Strong"/>
          <w:b w:val="0"/>
        </w:rPr>
      </w:pPr>
      <w:r w:rsidRPr="00E95CDA">
        <w:rPr>
          <w:rStyle w:val="Strong"/>
          <w:b w:val="0"/>
        </w:rPr>
        <w:t>Capital investments</w:t>
      </w:r>
    </w:p>
    <w:p w:rsidR="00E95CDA" w:rsidRPr="00E95CDA" w:rsidRDefault="00E95CDA" w:rsidP="00E95CDA">
      <w:pPr>
        <w:pStyle w:val="ListParagraph"/>
        <w:numPr>
          <w:ilvl w:val="0"/>
          <w:numId w:val="3"/>
        </w:numPr>
        <w:spacing w:after="0"/>
        <w:rPr>
          <w:rStyle w:val="Strong"/>
          <w:b w:val="0"/>
        </w:rPr>
      </w:pPr>
      <w:r w:rsidRPr="00E95CDA">
        <w:rPr>
          <w:rStyle w:val="Strong"/>
          <w:b w:val="0"/>
        </w:rPr>
        <w:t>Expenditures made prior to the award date or are not approved for use prior to June 30, 2017</w:t>
      </w:r>
    </w:p>
    <w:p w:rsidR="00E95CDA" w:rsidRPr="00E95CDA" w:rsidRDefault="00E95CDA" w:rsidP="00E95CDA">
      <w:pPr>
        <w:pStyle w:val="ListParagraph"/>
        <w:numPr>
          <w:ilvl w:val="0"/>
          <w:numId w:val="3"/>
        </w:numPr>
        <w:spacing w:after="0"/>
        <w:rPr>
          <w:rStyle w:val="Strong"/>
          <w:b w:val="0"/>
        </w:rPr>
      </w:pPr>
      <w:r w:rsidRPr="00E95CDA">
        <w:rPr>
          <w:rStyle w:val="Strong"/>
          <w:b w:val="0"/>
        </w:rPr>
        <w:t>Purchases that become the property of any individual or organization other than the eligible recipient</w:t>
      </w:r>
    </w:p>
    <w:p w:rsidR="00E95CDA" w:rsidRPr="00E95CDA" w:rsidRDefault="00E95CDA" w:rsidP="00E95CDA">
      <w:pPr>
        <w:pStyle w:val="ListParagraph"/>
        <w:numPr>
          <w:ilvl w:val="0"/>
          <w:numId w:val="3"/>
        </w:numPr>
        <w:spacing w:after="0"/>
        <w:rPr>
          <w:rStyle w:val="Strong"/>
          <w:b w:val="0"/>
        </w:rPr>
      </w:pPr>
      <w:r w:rsidRPr="00E95CDA">
        <w:rPr>
          <w:rStyle w:val="Strong"/>
          <w:b w:val="0"/>
        </w:rPr>
        <w:t>Purchases or services beyond the project outcomes or activities</w:t>
      </w:r>
    </w:p>
    <w:p w:rsidR="00E95CDA" w:rsidRPr="00F62BA4" w:rsidRDefault="00E95CDA" w:rsidP="00E95CDA">
      <w:pPr>
        <w:spacing w:after="0"/>
        <w:rPr>
          <w:rStyle w:val="Strong"/>
          <w:b w:val="0"/>
          <w:sz w:val="14"/>
        </w:rPr>
      </w:pPr>
    </w:p>
    <w:p w:rsidR="00E95CDA" w:rsidRDefault="00E95CDA" w:rsidP="0065155B">
      <w:pPr>
        <w:spacing w:after="0"/>
        <w:ind w:left="-720"/>
        <w:rPr>
          <w:rStyle w:val="Strong"/>
          <w:b w:val="0"/>
        </w:rPr>
      </w:pPr>
      <w:r>
        <w:rPr>
          <w:rStyle w:val="Strong"/>
          <w:b w:val="0"/>
        </w:rPr>
        <w:t xml:space="preserve">A more detailed list of allowable expenditures is located at </w:t>
      </w:r>
      <w:hyperlink r:id="rId11" w:history="1">
        <w:r w:rsidRPr="007A1C58">
          <w:rPr>
            <w:rStyle w:val="Hyperlink"/>
          </w:rPr>
          <w:t>http://doe.sd.gov/octe/documents/Allowable.pdf</w:t>
        </w:r>
      </w:hyperlink>
      <w:r>
        <w:rPr>
          <w:rStyle w:val="Strong"/>
          <w:b w:val="0"/>
        </w:rPr>
        <w:t>.</w:t>
      </w:r>
    </w:p>
    <w:p w:rsidR="0065155B" w:rsidRPr="00F62BA4" w:rsidRDefault="0065155B" w:rsidP="0065155B">
      <w:pPr>
        <w:spacing w:after="0"/>
        <w:ind w:left="-720"/>
        <w:rPr>
          <w:rStyle w:val="Strong"/>
          <w:b w:val="0"/>
          <w:sz w:val="14"/>
        </w:rPr>
      </w:pPr>
    </w:p>
    <w:p w:rsidR="00E95CDA" w:rsidRPr="00E95CDA" w:rsidRDefault="00E95CDA" w:rsidP="00E95CDA">
      <w:pPr>
        <w:spacing w:after="0"/>
        <w:ind w:left="-720"/>
        <w:rPr>
          <w:rStyle w:val="Strong"/>
          <w:szCs w:val="24"/>
        </w:rPr>
      </w:pPr>
      <w:r w:rsidRPr="00E95CDA">
        <w:rPr>
          <w:rStyle w:val="Strong"/>
          <w:szCs w:val="24"/>
        </w:rPr>
        <w:t>Considerations</w:t>
      </w:r>
    </w:p>
    <w:p w:rsidR="00E95CDA" w:rsidRDefault="00E95CDA" w:rsidP="0065155B">
      <w:pPr>
        <w:spacing w:after="0"/>
        <w:ind w:left="-720"/>
      </w:pPr>
      <w:r>
        <w:t>Questions to consider when vetting potential grant projects include:</w:t>
      </w:r>
    </w:p>
    <w:p w:rsidR="00E95CDA" w:rsidRDefault="00E95CDA" w:rsidP="0065155B">
      <w:pPr>
        <w:pStyle w:val="ListParagraph"/>
        <w:numPr>
          <w:ilvl w:val="0"/>
          <w:numId w:val="4"/>
        </w:numPr>
        <w:spacing w:after="0"/>
      </w:pPr>
      <w:r>
        <w:t>In what ways will the project add opportunity for more students to access high quality CTE programs with strong programs of study?</w:t>
      </w:r>
    </w:p>
    <w:p w:rsidR="0065155B" w:rsidRDefault="00E95CDA" w:rsidP="0065155B">
      <w:pPr>
        <w:pStyle w:val="ListParagraph"/>
        <w:numPr>
          <w:ilvl w:val="0"/>
          <w:numId w:val="4"/>
        </w:numPr>
      </w:pPr>
      <w:r>
        <w:t>How will the project modernize CTE programs and assist students in mastering industry standards?</w:t>
      </w:r>
    </w:p>
    <w:p w:rsidR="00E95CDA" w:rsidRDefault="00E95CDA" w:rsidP="00F62BA4">
      <w:pPr>
        <w:pStyle w:val="ListParagraph"/>
        <w:numPr>
          <w:ilvl w:val="0"/>
          <w:numId w:val="4"/>
        </w:numPr>
        <w:spacing w:after="0"/>
        <w:ind w:right="-720"/>
      </w:pPr>
      <w:r>
        <w:t>How will the project expose students to high-need workforce areas in South Dakota?</w:t>
      </w:r>
    </w:p>
    <w:p w:rsidR="00F62BA4" w:rsidRPr="00F62BA4" w:rsidRDefault="00F62BA4" w:rsidP="00F62BA4">
      <w:pPr>
        <w:spacing w:after="0"/>
        <w:ind w:left="-720"/>
        <w:rPr>
          <w:rStyle w:val="Strong"/>
          <w:sz w:val="14"/>
          <w:szCs w:val="24"/>
        </w:rPr>
      </w:pPr>
    </w:p>
    <w:p w:rsidR="0065155B" w:rsidRPr="0065155B" w:rsidRDefault="0065155B" w:rsidP="00F62BA4">
      <w:pPr>
        <w:spacing w:after="0"/>
        <w:ind w:left="-720"/>
        <w:rPr>
          <w:rStyle w:val="Strong"/>
          <w:szCs w:val="24"/>
        </w:rPr>
      </w:pPr>
      <w:r w:rsidRPr="0065155B">
        <w:rPr>
          <w:rStyle w:val="Strong"/>
          <w:szCs w:val="24"/>
        </w:rPr>
        <w:t>Application Deadline and Award Process</w:t>
      </w:r>
    </w:p>
    <w:p w:rsidR="0065155B" w:rsidRDefault="0065155B" w:rsidP="0065155B">
      <w:pPr>
        <w:spacing w:after="0"/>
        <w:ind w:left="-720"/>
        <w:rPr>
          <w:rStyle w:val="Strong"/>
          <w:b w:val="0"/>
        </w:rPr>
      </w:pPr>
      <w:r>
        <w:rPr>
          <w:rStyle w:val="Strong"/>
          <w:b w:val="0"/>
        </w:rPr>
        <w:t>P</w:t>
      </w:r>
      <w:r w:rsidRPr="0065155B">
        <w:rPr>
          <w:rStyle w:val="Strong"/>
          <w:b w:val="0"/>
        </w:rPr>
        <w:t xml:space="preserve">roposals must be electronically submitted as a single PDF document, via attachment, to </w:t>
      </w:r>
      <w:hyperlink r:id="rId12" w:history="1">
        <w:r w:rsidRPr="00B86BD3">
          <w:rPr>
            <w:rStyle w:val="Hyperlink"/>
          </w:rPr>
          <w:t>erin.larsen@state.sd.us</w:t>
        </w:r>
      </w:hyperlink>
      <w:r>
        <w:rPr>
          <w:rStyle w:val="Strong"/>
        </w:rPr>
        <w:t xml:space="preserve"> </w:t>
      </w:r>
      <w:r w:rsidRPr="0065155B">
        <w:rPr>
          <w:rStyle w:val="Strong"/>
          <w:b w:val="0"/>
        </w:rPr>
        <w:t>by Monday, March 13, 2017.</w:t>
      </w:r>
      <w:r>
        <w:rPr>
          <w:rStyle w:val="Strong"/>
        </w:rPr>
        <w:t xml:space="preserve"> </w:t>
      </w:r>
    </w:p>
    <w:p w:rsidR="0065155B" w:rsidRPr="000A3C9D" w:rsidRDefault="0065155B" w:rsidP="0065155B">
      <w:pPr>
        <w:spacing w:after="0"/>
        <w:rPr>
          <w:rStyle w:val="Strong"/>
          <w:b w:val="0"/>
          <w:sz w:val="18"/>
        </w:rPr>
      </w:pPr>
    </w:p>
    <w:p w:rsidR="0065155B" w:rsidRPr="0065155B" w:rsidRDefault="0065155B" w:rsidP="000A3C9D">
      <w:pPr>
        <w:spacing w:after="0"/>
        <w:ind w:left="-720"/>
        <w:rPr>
          <w:b/>
        </w:rPr>
      </w:pPr>
      <w:r w:rsidRPr="0065155B">
        <w:rPr>
          <w:rStyle w:val="Strong"/>
          <w:b w:val="0"/>
        </w:rPr>
        <w:t>Award notifications will be announced by Monday, March 27, 2017. Projects may begin April 1, 2017, and funds must be obligated prior to June 30, 2017. Projects must be completed by August 15, 2017.</w:t>
      </w:r>
    </w:p>
    <w:p w:rsidR="000A3C9D" w:rsidRPr="000A3C9D" w:rsidRDefault="000A3C9D" w:rsidP="000A3C9D">
      <w:pPr>
        <w:spacing w:after="0"/>
        <w:ind w:left="-720"/>
        <w:rPr>
          <w:sz w:val="18"/>
        </w:rPr>
      </w:pPr>
    </w:p>
    <w:p w:rsidR="0065155B" w:rsidRDefault="0065155B" w:rsidP="000A3C9D">
      <w:pPr>
        <w:spacing w:after="0"/>
        <w:ind w:left="-720"/>
      </w:pPr>
      <w:r>
        <w:t xml:space="preserve">Perkins Reserve Grants will be awarded through a competitive process. All proposals will be read and judged by a review committee. The review committee will determine award winners based on the grant priorities and criteria using a </w:t>
      </w:r>
      <w:r w:rsidR="000A3C9D">
        <w:t xml:space="preserve">scoring rubric. </w:t>
      </w:r>
      <w:r>
        <w:t>Both successful and unsuccessful applicants will be notified. Award decisions made by the review committee are final.</w:t>
      </w:r>
    </w:p>
    <w:p w:rsidR="000A3C9D" w:rsidRDefault="000A3C9D" w:rsidP="0065155B">
      <w:pPr>
        <w:spacing w:after="0"/>
        <w:ind w:left="-720"/>
        <w:rPr>
          <w:rStyle w:val="Strong"/>
          <w:szCs w:val="24"/>
        </w:rPr>
      </w:pPr>
    </w:p>
    <w:p w:rsidR="0065155B" w:rsidRPr="0065155B" w:rsidRDefault="0065155B" w:rsidP="0065155B">
      <w:pPr>
        <w:spacing w:after="0"/>
        <w:ind w:left="-720"/>
        <w:rPr>
          <w:rStyle w:val="Strong"/>
          <w:szCs w:val="24"/>
        </w:rPr>
      </w:pPr>
      <w:r w:rsidRPr="0065155B">
        <w:rPr>
          <w:rStyle w:val="Strong"/>
          <w:szCs w:val="24"/>
        </w:rPr>
        <w:t>Contact</w:t>
      </w:r>
    </w:p>
    <w:p w:rsidR="0065155B" w:rsidRDefault="0065155B" w:rsidP="0065155B">
      <w:pPr>
        <w:ind w:left="-720"/>
        <w:rPr>
          <w:rFonts w:cs="Arial"/>
          <w:color w:val="000000"/>
        </w:rPr>
      </w:pPr>
      <w:proofErr w:type="gramStart"/>
      <w:r w:rsidRPr="002076FD">
        <w:t xml:space="preserve">Direct </w:t>
      </w:r>
      <w:r w:rsidRPr="00447B7F">
        <w:t>questions to Erin Larsen</w:t>
      </w:r>
      <w:r w:rsidRPr="00447B7F">
        <w:rPr>
          <w:rFonts w:cs="Arial"/>
          <w:color w:val="000000"/>
        </w:rPr>
        <w:t xml:space="preserve"> (</w:t>
      </w:r>
      <w:hyperlink r:id="rId13" w:history="1">
        <w:r w:rsidRPr="00447B7F">
          <w:rPr>
            <w:rStyle w:val="Hyperlink"/>
            <w:rFonts w:cs="Arial"/>
          </w:rPr>
          <w:t>erin.larsen@state.sd.us</w:t>
        </w:r>
      </w:hyperlink>
      <w:r w:rsidRPr="00447B7F">
        <w:rPr>
          <w:rFonts w:cs="Arial"/>
          <w:color w:val="000000"/>
        </w:rPr>
        <w:t>, 605.773.2533).</w:t>
      </w:r>
      <w:proofErr w:type="gramEnd"/>
    </w:p>
    <w:p w:rsidR="000A3C9D" w:rsidRPr="000A3C9D" w:rsidRDefault="000A3C9D" w:rsidP="000A3C9D">
      <w:pPr>
        <w:pStyle w:val="Heading1"/>
        <w:spacing w:before="0"/>
        <w:ind w:left="-720"/>
        <w:rPr>
          <w:rFonts w:asciiTheme="minorHAnsi" w:hAnsiTheme="minorHAnsi"/>
          <w:color w:val="auto"/>
          <w:sz w:val="22"/>
        </w:rPr>
      </w:pPr>
      <w:r w:rsidRPr="000A3C9D">
        <w:rPr>
          <w:rFonts w:asciiTheme="minorHAnsi" w:hAnsiTheme="minorHAnsi"/>
          <w:color w:val="auto"/>
          <w:sz w:val="22"/>
        </w:rPr>
        <w:t xml:space="preserve">Proposal </w:t>
      </w:r>
      <w:r w:rsidR="00697BB7">
        <w:rPr>
          <w:rFonts w:asciiTheme="minorHAnsi" w:hAnsiTheme="minorHAnsi"/>
          <w:color w:val="auto"/>
          <w:sz w:val="22"/>
        </w:rPr>
        <w:t>Submission</w:t>
      </w:r>
    </w:p>
    <w:p w:rsidR="000A3C9D" w:rsidRDefault="000A3C9D" w:rsidP="000A3C9D">
      <w:pPr>
        <w:spacing w:after="0" w:line="240" w:lineRule="auto"/>
        <w:ind w:left="-720"/>
      </w:pPr>
      <w:r w:rsidRPr="001E63FD">
        <w:t>A single .pdf document must be emailed to</w:t>
      </w:r>
      <w:r>
        <w:t xml:space="preserve"> </w:t>
      </w:r>
      <w:hyperlink r:id="rId14" w:history="1">
        <w:r w:rsidRPr="00B86BD3">
          <w:rPr>
            <w:rStyle w:val="Hyperlink"/>
          </w:rPr>
          <w:t>erin.larsen@state.sd.us</w:t>
        </w:r>
      </w:hyperlink>
      <w:r>
        <w:t xml:space="preserve"> by Monday, March 13, 2017.</w:t>
      </w:r>
    </w:p>
    <w:p w:rsidR="000A3C9D" w:rsidRPr="00F62BA4" w:rsidRDefault="000A3C9D" w:rsidP="000A3C9D">
      <w:pPr>
        <w:spacing w:after="0" w:line="240" w:lineRule="auto"/>
        <w:rPr>
          <w:sz w:val="14"/>
        </w:rPr>
      </w:pPr>
    </w:p>
    <w:p w:rsidR="000A3C9D" w:rsidRPr="001E63FD" w:rsidRDefault="000A3C9D" w:rsidP="00F62BA4">
      <w:pPr>
        <w:spacing w:after="0"/>
        <w:ind w:left="-720"/>
        <w:rPr>
          <w:b/>
          <w:bCs/>
          <w:sz w:val="24"/>
          <w:szCs w:val="28"/>
        </w:rPr>
      </w:pPr>
      <w:r w:rsidRPr="000A3C9D">
        <w:rPr>
          <w:b/>
          <w:bCs/>
          <w:szCs w:val="28"/>
        </w:rPr>
        <w:t>Complete proposals will include the following elements:</w:t>
      </w:r>
    </w:p>
    <w:p w:rsidR="000A3C9D" w:rsidRPr="000A3C9D" w:rsidRDefault="000A3C9D" w:rsidP="00F62BA4">
      <w:pPr>
        <w:pStyle w:val="ListParagraph"/>
        <w:numPr>
          <w:ilvl w:val="0"/>
          <w:numId w:val="5"/>
        </w:numPr>
        <w:spacing w:after="0"/>
        <w:rPr>
          <w:bCs/>
          <w:szCs w:val="28"/>
        </w:rPr>
      </w:pPr>
      <w:r w:rsidRPr="000A3C9D">
        <w:rPr>
          <w:bCs/>
          <w:szCs w:val="28"/>
        </w:rPr>
        <w:t>Project summary</w:t>
      </w:r>
    </w:p>
    <w:p w:rsidR="000A3C9D" w:rsidRPr="000A3C9D" w:rsidRDefault="000A3C9D" w:rsidP="000A3C9D">
      <w:pPr>
        <w:pStyle w:val="ListParagraph"/>
        <w:numPr>
          <w:ilvl w:val="0"/>
          <w:numId w:val="5"/>
        </w:numPr>
        <w:rPr>
          <w:bCs/>
          <w:szCs w:val="28"/>
        </w:rPr>
      </w:pPr>
      <w:r w:rsidRPr="000A3C9D">
        <w:rPr>
          <w:bCs/>
          <w:szCs w:val="28"/>
        </w:rPr>
        <w:t xml:space="preserve">School district </w:t>
      </w:r>
    </w:p>
    <w:p w:rsidR="000A3C9D" w:rsidRPr="000A3C9D" w:rsidRDefault="000A3C9D" w:rsidP="000A3C9D">
      <w:pPr>
        <w:pStyle w:val="ListParagraph"/>
        <w:numPr>
          <w:ilvl w:val="0"/>
          <w:numId w:val="5"/>
        </w:numPr>
        <w:rPr>
          <w:bCs/>
          <w:szCs w:val="28"/>
        </w:rPr>
      </w:pPr>
      <w:r w:rsidRPr="000A3C9D">
        <w:rPr>
          <w:bCs/>
          <w:szCs w:val="28"/>
        </w:rPr>
        <w:t>Description of proposed project: Overview/rationale, Plan, Outcomes</w:t>
      </w:r>
    </w:p>
    <w:p w:rsidR="000A3C9D" w:rsidRPr="000A3C9D" w:rsidRDefault="000A3C9D" w:rsidP="00F62BA4">
      <w:pPr>
        <w:pStyle w:val="ListParagraph"/>
        <w:numPr>
          <w:ilvl w:val="0"/>
          <w:numId w:val="5"/>
        </w:numPr>
        <w:spacing w:after="0"/>
        <w:rPr>
          <w:bCs/>
          <w:sz w:val="24"/>
          <w:szCs w:val="28"/>
        </w:rPr>
      </w:pPr>
      <w:r w:rsidRPr="000A3C9D">
        <w:rPr>
          <w:bCs/>
          <w:szCs w:val="28"/>
        </w:rPr>
        <w:t>Budget</w:t>
      </w:r>
    </w:p>
    <w:p w:rsidR="000A3C9D" w:rsidRPr="009A3057" w:rsidRDefault="000A3C9D" w:rsidP="00F62BA4">
      <w:pPr>
        <w:spacing w:after="0"/>
        <w:ind w:left="-720"/>
        <w:rPr>
          <w:b/>
        </w:rPr>
      </w:pPr>
      <w:r w:rsidRPr="009A3057">
        <w:rPr>
          <w:b/>
        </w:rPr>
        <w:t>Details:</w:t>
      </w:r>
    </w:p>
    <w:p w:rsidR="000A3C9D" w:rsidRPr="009A3057" w:rsidRDefault="000A3C9D" w:rsidP="00F62BA4">
      <w:pPr>
        <w:pStyle w:val="ListParagraph"/>
        <w:numPr>
          <w:ilvl w:val="0"/>
          <w:numId w:val="6"/>
        </w:numPr>
        <w:spacing w:after="0"/>
        <w:rPr>
          <w:b/>
        </w:rPr>
      </w:pPr>
      <w:r>
        <w:rPr>
          <w:b/>
        </w:rPr>
        <w:t xml:space="preserve">Project summary: </w:t>
      </w:r>
      <w:r>
        <w:t xml:space="preserve">Include a brief summary of the project, not to exceed three sentences. </w:t>
      </w:r>
    </w:p>
    <w:p w:rsidR="000A3C9D" w:rsidRPr="009A3057" w:rsidRDefault="000A3C9D" w:rsidP="000A3C9D">
      <w:pPr>
        <w:pStyle w:val="ListParagraph"/>
        <w:numPr>
          <w:ilvl w:val="0"/>
          <w:numId w:val="6"/>
        </w:numPr>
        <w:spacing w:after="0"/>
        <w:rPr>
          <w:b/>
        </w:rPr>
      </w:pPr>
      <w:r>
        <w:rPr>
          <w:b/>
        </w:rPr>
        <w:t>School district</w:t>
      </w:r>
      <w:r w:rsidRPr="009A3057">
        <w:rPr>
          <w:b/>
        </w:rPr>
        <w:t xml:space="preserve">: </w:t>
      </w:r>
      <w:r w:rsidRPr="009A3057">
        <w:t>Include the lead school district</w:t>
      </w:r>
      <w:r>
        <w:t xml:space="preserve"> and any potential </w:t>
      </w:r>
      <w:r w:rsidRPr="009A3057">
        <w:t>industry partners.</w:t>
      </w:r>
    </w:p>
    <w:p w:rsidR="000A3C9D" w:rsidRPr="009A3057" w:rsidRDefault="000A3C9D" w:rsidP="000A3C9D">
      <w:pPr>
        <w:pStyle w:val="ListParagraph"/>
        <w:numPr>
          <w:ilvl w:val="0"/>
          <w:numId w:val="6"/>
        </w:numPr>
        <w:spacing w:after="0"/>
        <w:rPr>
          <w:b/>
        </w:rPr>
      </w:pPr>
      <w:r w:rsidRPr="009A3057">
        <w:rPr>
          <w:b/>
        </w:rPr>
        <w:t>Project description:</w:t>
      </w:r>
    </w:p>
    <w:p w:rsidR="000A3C9D" w:rsidRPr="009A3057" w:rsidRDefault="000A3C9D" w:rsidP="000A3C9D">
      <w:pPr>
        <w:pStyle w:val="ListParagraph"/>
        <w:numPr>
          <w:ilvl w:val="1"/>
          <w:numId w:val="7"/>
        </w:numPr>
        <w:spacing w:after="0"/>
      </w:pPr>
      <w:r w:rsidRPr="009A3057">
        <w:t xml:space="preserve">Limit the project description to </w:t>
      </w:r>
      <w:r>
        <w:t>one</w:t>
      </w:r>
      <w:r w:rsidRPr="009A3057">
        <w:t xml:space="preserve"> page</w:t>
      </w:r>
    </w:p>
    <w:p w:rsidR="000A3C9D" w:rsidRPr="0054564D" w:rsidRDefault="000A3C9D" w:rsidP="000A3C9D">
      <w:pPr>
        <w:pStyle w:val="ListParagraph"/>
        <w:numPr>
          <w:ilvl w:val="1"/>
          <w:numId w:val="7"/>
        </w:numPr>
        <w:spacing w:after="0"/>
        <w:rPr>
          <w:b/>
        </w:rPr>
      </w:pPr>
      <w:r w:rsidRPr="009A3057">
        <w:t xml:space="preserve">Include information to support the project’s merit and address the grant priorities. </w:t>
      </w:r>
      <w:r>
        <w:t>How does the project improve the quality of and access to CTE programs?</w:t>
      </w:r>
    </w:p>
    <w:p w:rsidR="000A3C9D" w:rsidRPr="0054564D" w:rsidRDefault="000A3C9D" w:rsidP="000A3C9D">
      <w:pPr>
        <w:pStyle w:val="ListParagraph"/>
        <w:numPr>
          <w:ilvl w:val="1"/>
          <w:numId w:val="7"/>
        </w:numPr>
        <w:spacing w:after="0"/>
        <w:rPr>
          <w:b/>
        </w:rPr>
      </w:pPr>
      <w:r w:rsidRPr="0054564D">
        <w:rPr>
          <w:b/>
        </w:rPr>
        <w:t xml:space="preserve">Overview: </w:t>
      </w:r>
      <w:r w:rsidRPr="009A3057">
        <w:t>Provide background information and/or rationale for the</w:t>
      </w:r>
      <w:r>
        <w:t xml:space="preserve"> project. Why is the grant funding needed? </w:t>
      </w:r>
    </w:p>
    <w:p w:rsidR="000A3C9D" w:rsidRPr="000A3C9D" w:rsidRDefault="000A3C9D" w:rsidP="000A3C9D">
      <w:pPr>
        <w:pStyle w:val="ListParagraph"/>
        <w:numPr>
          <w:ilvl w:val="1"/>
          <w:numId w:val="7"/>
        </w:numPr>
        <w:spacing w:after="0"/>
        <w:rPr>
          <w:rStyle w:val="Strong"/>
          <w:b w:val="0"/>
          <w:bCs w:val="0"/>
        </w:rPr>
      </w:pPr>
      <w:r w:rsidRPr="000A3C9D">
        <w:rPr>
          <w:b/>
        </w:rPr>
        <w:t xml:space="preserve">Proposed Plan: </w:t>
      </w:r>
      <w:r w:rsidRPr="009A3057">
        <w:t xml:space="preserve">List the project’s goals. </w:t>
      </w:r>
      <w:r>
        <w:t xml:space="preserve">Who will be involved in the project? How many students will benefit from the project? What is the timeline for the project?  </w:t>
      </w:r>
      <w:r w:rsidRPr="009A3057">
        <w:t xml:space="preserve">How will high-need workforce areas be supported? </w:t>
      </w:r>
    </w:p>
    <w:p w:rsidR="00F62BA4" w:rsidRDefault="000A3C9D" w:rsidP="00F62BA4">
      <w:pPr>
        <w:pStyle w:val="NoSpacing"/>
        <w:numPr>
          <w:ilvl w:val="1"/>
          <w:numId w:val="7"/>
        </w:numPr>
      </w:pPr>
      <w:r w:rsidRPr="0054564D">
        <w:rPr>
          <w:b/>
        </w:rPr>
        <w:t>Outcomes:</w:t>
      </w:r>
      <w:r w:rsidRPr="009A3057">
        <w:t xml:space="preserve"> Indicate how student achievement will be impacted as a result of the project. What are the measurable outcomes? </w:t>
      </w:r>
    </w:p>
    <w:p w:rsidR="000A3C9D" w:rsidRDefault="00F62BA4" w:rsidP="00F62BA4">
      <w:pPr>
        <w:pStyle w:val="NoSpacing"/>
        <w:ind w:left="720" w:hanging="360"/>
      </w:pPr>
      <w:r>
        <w:rPr>
          <w:b/>
        </w:rPr>
        <w:t>4.</w:t>
      </w:r>
      <w:r>
        <w:rPr>
          <w:b/>
        </w:rPr>
        <w:tab/>
      </w:r>
      <w:r w:rsidR="000A3C9D" w:rsidRPr="00F62BA4">
        <w:rPr>
          <w:b/>
        </w:rPr>
        <w:t>Budget:</w:t>
      </w:r>
      <w:r w:rsidR="000A3C9D" w:rsidRPr="009A3057">
        <w:t xml:space="preserve"> Provide a one-page budget in which major funding categories are identified and explained</w:t>
      </w:r>
      <w:r w:rsidR="000A3C9D" w:rsidRPr="00F62BA4">
        <w:t>. Feel free to make use of the budget templates below or modify them to meet your needs.</w:t>
      </w:r>
    </w:p>
    <w:p w:rsidR="00F62BA4" w:rsidRPr="00F62BA4" w:rsidRDefault="00F62BA4" w:rsidP="00F62BA4">
      <w:pPr>
        <w:pStyle w:val="NoSpacing"/>
        <w:ind w:left="720" w:hanging="360"/>
        <w:rPr>
          <w:sz w:val="18"/>
        </w:rPr>
      </w:pPr>
    </w:p>
    <w:p w:rsidR="000A3C9D" w:rsidRPr="00F62BA4" w:rsidRDefault="000A3C9D" w:rsidP="00F62BA4">
      <w:pPr>
        <w:pStyle w:val="Subtitle"/>
        <w:spacing w:after="0"/>
        <w:ind w:left="-720"/>
        <w:rPr>
          <w:rFonts w:asciiTheme="minorHAnsi" w:hAnsiTheme="minorHAnsi"/>
          <w:b/>
          <w:i w:val="0"/>
          <w:color w:val="auto"/>
          <w:sz w:val="22"/>
          <w:szCs w:val="22"/>
        </w:rPr>
      </w:pPr>
      <w:r w:rsidRPr="00F62BA4">
        <w:rPr>
          <w:rFonts w:asciiTheme="minorHAnsi" w:hAnsiTheme="minorHAnsi"/>
          <w:b/>
          <w:i w:val="0"/>
          <w:color w:val="auto"/>
          <w:sz w:val="22"/>
          <w:szCs w:val="22"/>
        </w:rPr>
        <w:t>Itemized budget:</w:t>
      </w:r>
    </w:p>
    <w:tbl>
      <w:tblPr>
        <w:tblStyle w:val="MediumList2-Accent2"/>
        <w:tblW w:w="0" w:type="auto"/>
        <w:tblLayout w:type="fixed"/>
        <w:tblLook w:val="04A0" w:firstRow="1" w:lastRow="0" w:firstColumn="1" w:lastColumn="0" w:noHBand="0" w:noVBand="1"/>
      </w:tblPr>
      <w:tblGrid>
        <w:gridCol w:w="1561"/>
        <w:gridCol w:w="1527"/>
        <w:gridCol w:w="1528"/>
        <w:gridCol w:w="1615"/>
        <w:gridCol w:w="1440"/>
        <w:gridCol w:w="1710"/>
      </w:tblGrid>
      <w:tr w:rsidR="000A3C9D" w:rsidRPr="00F62BA4" w:rsidTr="007169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1" w:type="dxa"/>
          </w:tcPr>
          <w:p w:rsidR="000A3C9D" w:rsidRPr="00F62BA4" w:rsidRDefault="000A3C9D" w:rsidP="0071690A">
            <w:pPr>
              <w:pStyle w:val="NoSpacing"/>
              <w:rPr>
                <w:rStyle w:val="SubtleEmphasis"/>
                <w:rFonts w:asciiTheme="minorHAnsi" w:hAnsiTheme="minorHAnsi"/>
                <w:b/>
                <w:i w:val="0"/>
                <w:sz w:val="22"/>
                <w:szCs w:val="22"/>
              </w:rPr>
            </w:pPr>
            <w:r w:rsidRPr="00F62BA4">
              <w:rPr>
                <w:rStyle w:val="Strong"/>
                <w:rFonts w:asciiTheme="minorHAnsi" w:hAnsiTheme="minorHAnsi"/>
                <w:sz w:val="22"/>
                <w:szCs w:val="22"/>
              </w:rPr>
              <w:t>Budget Request</w:t>
            </w:r>
          </w:p>
        </w:tc>
        <w:tc>
          <w:tcPr>
            <w:tcW w:w="1527" w:type="dxa"/>
          </w:tcPr>
          <w:p w:rsidR="000A3C9D" w:rsidRPr="00F62BA4" w:rsidRDefault="000A3C9D" w:rsidP="0071690A">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Cs w:val="0"/>
                <w:sz w:val="22"/>
                <w:szCs w:val="22"/>
              </w:rPr>
            </w:pPr>
            <w:r w:rsidRPr="00F62BA4">
              <w:rPr>
                <w:rStyle w:val="Strong"/>
                <w:rFonts w:asciiTheme="minorHAnsi" w:hAnsiTheme="minorHAnsi"/>
                <w:sz w:val="22"/>
                <w:szCs w:val="22"/>
              </w:rPr>
              <w:t>Purchased Services</w:t>
            </w:r>
          </w:p>
        </w:tc>
        <w:tc>
          <w:tcPr>
            <w:tcW w:w="1528" w:type="dxa"/>
          </w:tcPr>
          <w:p w:rsidR="000A3C9D" w:rsidRPr="00F62BA4" w:rsidRDefault="000A3C9D" w:rsidP="0071690A">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Cs w:val="0"/>
                <w:sz w:val="22"/>
                <w:szCs w:val="22"/>
              </w:rPr>
            </w:pPr>
            <w:r w:rsidRPr="00F62BA4">
              <w:rPr>
                <w:rStyle w:val="Strong"/>
                <w:rFonts w:asciiTheme="minorHAnsi" w:hAnsiTheme="minorHAnsi"/>
                <w:sz w:val="22"/>
                <w:szCs w:val="22"/>
              </w:rPr>
              <w:t>Travel</w:t>
            </w:r>
          </w:p>
        </w:tc>
        <w:tc>
          <w:tcPr>
            <w:tcW w:w="1615" w:type="dxa"/>
          </w:tcPr>
          <w:p w:rsidR="000A3C9D" w:rsidRPr="00F62BA4" w:rsidRDefault="000A3C9D" w:rsidP="0071690A">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Cs w:val="0"/>
                <w:sz w:val="22"/>
                <w:szCs w:val="22"/>
              </w:rPr>
            </w:pPr>
            <w:r w:rsidRPr="00F62BA4">
              <w:rPr>
                <w:rStyle w:val="Strong"/>
                <w:rFonts w:asciiTheme="minorHAnsi" w:hAnsiTheme="minorHAnsi"/>
                <w:sz w:val="22"/>
                <w:szCs w:val="22"/>
              </w:rPr>
              <w:t>Instructional Materials</w:t>
            </w:r>
          </w:p>
        </w:tc>
        <w:tc>
          <w:tcPr>
            <w:tcW w:w="1440" w:type="dxa"/>
          </w:tcPr>
          <w:p w:rsidR="000A3C9D" w:rsidRPr="00F62BA4" w:rsidRDefault="000A3C9D" w:rsidP="0071690A">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Cs w:val="0"/>
                <w:sz w:val="22"/>
                <w:szCs w:val="22"/>
              </w:rPr>
            </w:pPr>
            <w:r w:rsidRPr="00F62BA4">
              <w:rPr>
                <w:rStyle w:val="Strong"/>
                <w:rFonts w:asciiTheme="minorHAnsi" w:hAnsiTheme="minorHAnsi"/>
                <w:sz w:val="22"/>
                <w:szCs w:val="22"/>
              </w:rPr>
              <w:t>Equipment</w:t>
            </w:r>
          </w:p>
        </w:tc>
        <w:tc>
          <w:tcPr>
            <w:tcW w:w="1710" w:type="dxa"/>
          </w:tcPr>
          <w:p w:rsidR="000A3C9D" w:rsidRPr="00F62BA4" w:rsidRDefault="000A3C9D" w:rsidP="0071690A">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heme="minorHAnsi" w:hAnsiTheme="minorHAnsi"/>
                <w:bCs w:val="0"/>
                <w:sz w:val="22"/>
                <w:szCs w:val="22"/>
              </w:rPr>
            </w:pPr>
            <w:r w:rsidRPr="00F62BA4">
              <w:rPr>
                <w:rStyle w:val="Strong"/>
                <w:rFonts w:asciiTheme="minorHAnsi" w:hAnsiTheme="minorHAnsi"/>
                <w:sz w:val="22"/>
                <w:szCs w:val="22"/>
              </w:rPr>
              <w:t>Total</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r w:rsidR="000A3C9D" w:rsidRPr="00F62BA4" w:rsidTr="0071690A">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Cs w:val="0"/>
              </w:rPr>
            </w:pPr>
            <w:r w:rsidRPr="00697BB7">
              <w:rPr>
                <w:rStyle w:val="Strong"/>
              </w:rPr>
              <w:t>$</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r w:rsidR="000A3C9D" w:rsidRPr="00F62BA4" w:rsidTr="0071690A">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Cs w:val="0"/>
              </w:rPr>
            </w:pPr>
            <w:r w:rsidRPr="00697BB7">
              <w:rPr>
                <w:rStyle w:val="Strong"/>
              </w:rPr>
              <w:t>$</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r w:rsidR="000A3C9D" w:rsidRPr="00F62BA4" w:rsidTr="0071690A">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Cs w:val="0"/>
              </w:rPr>
            </w:pPr>
            <w:r w:rsidRPr="00697BB7">
              <w:rPr>
                <w:rStyle w:val="Strong"/>
              </w:rPr>
              <w:t>$</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r w:rsidR="000A3C9D" w:rsidRPr="00F62BA4" w:rsidTr="0071690A">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Cs w:val="0"/>
              </w:rPr>
            </w:pPr>
            <w:r w:rsidRPr="00697BB7">
              <w:rPr>
                <w:rStyle w:val="Strong"/>
              </w:rPr>
              <w:t>$</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r w:rsidR="000A3C9D" w:rsidRPr="00F62BA4" w:rsidTr="0071690A">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b w:val="0"/>
                <w:bCs w:val="0"/>
              </w:rPr>
            </w:pPr>
          </w:p>
        </w:tc>
        <w:tc>
          <w:tcPr>
            <w:tcW w:w="1527"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528"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615"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44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 w:val="0"/>
                <w:bCs w:val="0"/>
              </w:rPr>
            </w:pPr>
          </w:p>
        </w:tc>
        <w:tc>
          <w:tcPr>
            <w:tcW w:w="1710" w:type="dxa"/>
          </w:tcPr>
          <w:p w:rsidR="000A3C9D" w:rsidRPr="00697BB7" w:rsidRDefault="000A3C9D" w:rsidP="0071690A">
            <w:pPr>
              <w:pStyle w:val="NoSpacing"/>
              <w:jc w:val="center"/>
              <w:cnfStyle w:val="000000000000" w:firstRow="0" w:lastRow="0" w:firstColumn="0" w:lastColumn="0" w:oddVBand="0" w:evenVBand="0" w:oddHBand="0" w:evenHBand="0" w:firstRowFirstColumn="0" w:firstRowLastColumn="0" w:lastRowFirstColumn="0" w:lastRowLastColumn="0"/>
              <w:rPr>
                <w:rStyle w:val="Strong"/>
                <w:bCs w:val="0"/>
              </w:rPr>
            </w:pPr>
            <w:r w:rsidRPr="00697BB7">
              <w:rPr>
                <w:rStyle w:val="Strong"/>
              </w:rPr>
              <w:t>$</w:t>
            </w:r>
          </w:p>
        </w:tc>
      </w:tr>
      <w:tr w:rsidR="000A3C9D" w:rsidRPr="00F62BA4" w:rsidTr="00716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rsidR="000A3C9D" w:rsidRPr="00F62BA4" w:rsidRDefault="000A3C9D" w:rsidP="0071690A">
            <w:pPr>
              <w:pStyle w:val="NoSpacing"/>
              <w:rPr>
                <w:rStyle w:val="Strong"/>
                <w:rFonts w:asciiTheme="minorHAnsi" w:hAnsiTheme="minorHAnsi"/>
                <w:bCs w:val="0"/>
              </w:rPr>
            </w:pPr>
            <w:r w:rsidRPr="00F62BA4">
              <w:rPr>
                <w:rStyle w:val="Strong"/>
                <w:rFonts w:asciiTheme="minorHAnsi" w:hAnsiTheme="minorHAnsi"/>
              </w:rPr>
              <w:t>Total Budgetary Needs</w:t>
            </w:r>
          </w:p>
        </w:tc>
        <w:tc>
          <w:tcPr>
            <w:tcW w:w="1527"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c>
          <w:tcPr>
            <w:tcW w:w="1528"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c>
          <w:tcPr>
            <w:tcW w:w="1615"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c>
          <w:tcPr>
            <w:tcW w:w="144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c>
          <w:tcPr>
            <w:tcW w:w="1710" w:type="dxa"/>
          </w:tcPr>
          <w:p w:rsidR="000A3C9D" w:rsidRPr="00697BB7" w:rsidRDefault="000A3C9D" w:rsidP="0071690A">
            <w:pPr>
              <w:pStyle w:val="NoSpacing"/>
              <w:jc w:val="center"/>
              <w:cnfStyle w:val="000000100000" w:firstRow="0" w:lastRow="0" w:firstColumn="0" w:lastColumn="0" w:oddVBand="0" w:evenVBand="0" w:oddHBand="1" w:evenHBand="0" w:firstRowFirstColumn="0" w:firstRowLastColumn="0" w:lastRowFirstColumn="0" w:lastRowLastColumn="0"/>
              <w:rPr>
                <w:rStyle w:val="Strong"/>
                <w:bCs w:val="0"/>
              </w:rPr>
            </w:pPr>
            <w:r w:rsidRPr="00697BB7">
              <w:rPr>
                <w:rStyle w:val="Strong"/>
              </w:rPr>
              <w:t>$</w:t>
            </w:r>
          </w:p>
        </w:tc>
      </w:tr>
    </w:tbl>
    <w:p w:rsidR="000A3C9D" w:rsidRDefault="000A3C9D" w:rsidP="000A3C9D">
      <w:r>
        <w:br w:type="page"/>
      </w:r>
    </w:p>
    <w:p w:rsidR="00636DD8" w:rsidRPr="002725F6" w:rsidRDefault="00636DD8" w:rsidP="00636DD8">
      <w:pPr>
        <w:ind w:left="-720"/>
        <w:rPr>
          <w:b/>
          <w:sz w:val="28"/>
        </w:rPr>
      </w:pPr>
      <w:r w:rsidRPr="002725F6">
        <w:rPr>
          <w:b/>
          <w:sz w:val="28"/>
        </w:rPr>
        <w:t>Appendix A: Project Examples by Cluster</w:t>
      </w:r>
    </w:p>
    <w:tbl>
      <w:tblPr>
        <w:tblStyle w:val="MediumShading1"/>
        <w:tblW w:w="1104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3"/>
        <w:gridCol w:w="3453"/>
        <w:gridCol w:w="4082"/>
      </w:tblGrid>
      <w:tr w:rsidR="00636DD8" w:rsidRPr="002725F6" w:rsidTr="00636DD8">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top w:val="none" w:sz="0" w:space="0" w:color="auto"/>
              <w:left w:val="none" w:sz="0" w:space="0" w:color="auto"/>
              <w:bottom w:val="none" w:sz="0" w:space="0" w:color="auto"/>
              <w:right w:val="none" w:sz="0" w:space="0" w:color="auto"/>
            </w:tcBorders>
          </w:tcPr>
          <w:p w:rsidR="00636DD8" w:rsidRPr="002725F6" w:rsidRDefault="00636DD8" w:rsidP="0071690A">
            <w:pPr>
              <w:rPr>
                <w:sz w:val="20"/>
                <w:szCs w:val="20"/>
              </w:rPr>
            </w:pPr>
            <w:r w:rsidRPr="002725F6">
              <w:rPr>
                <w:sz w:val="20"/>
                <w:szCs w:val="20"/>
              </w:rPr>
              <w:t>Career Cluster</w:t>
            </w:r>
          </w:p>
        </w:tc>
        <w:tc>
          <w:tcPr>
            <w:tcW w:w="3453" w:type="dxa"/>
            <w:tcBorders>
              <w:top w:val="none" w:sz="0" w:space="0" w:color="auto"/>
              <w:left w:val="none" w:sz="0" w:space="0" w:color="auto"/>
              <w:bottom w:val="none" w:sz="0" w:space="0" w:color="auto"/>
              <w:right w:val="none" w:sz="0" w:space="0" w:color="auto"/>
            </w:tcBorders>
          </w:tcPr>
          <w:p w:rsidR="00636DD8" w:rsidRPr="002725F6" w:rsidRDefault="00636DD8" w:rsidP="0071690A">
            <w:pPr>
              <w:cnfStyle w:val="100000000000" w:firstRow="1" w:lastRow="0" w:firstColumn="0" w:lastColumn="0" w:oddVBand="0" w:evenVBand="0" w:oddHBand="0" w:evenHBand="0" w:firstRowFirstColumn="0" w:firstRowLastColumn="0" w:lastRowFirstColumn="0" w:lastRowLastColumn="0"/>
              <w:rPr>
                <w:sz w:val="20"/>
                <w:szCs w:val="20"/>
              </w:rPr>
            </w:pPr>
            <w:r w:rsidRPr="002725F6">
              <w:rPr>
                <w:sz w:val="20"/>
                <w:szCs w:val="20"/>
              </w:rPr>
              <w:t>Training/Equipment</w:t>
            </w:r>
          </w:p>
        </w:tc>
        <w:tc>
          <w:tcPr>
            <w:tcW w:w="4082" w:type="dxa"/>
            <w:tcBorders>
              <w:top w:val="none" w:sz="0" w:space="0" w:color="auto"/>
              <w:left w:val="none" w:sz="0" w:space="0" w:color="auto"/>
              <w:bottom w:val="none" w:sz="0" w:space="0" w:color="auto"/>
              <w:right w:val="none" w:sz="0" w:space="0" w:color="auto"/>
            </w:tcBorders>
          </w:tcPr>
          <w:p w:rsidR="00636DD8" w:rsidRPr="002725F6" w:rsidRDefault="00636DD8" w:rsidP="0071690A">
            <w:pPr>
              <w:cnfStyle w:val="100000000000" w:firstRow="1" w:lastRow="0" w:firstColumn="0" w:lastColumn="0" w:oddVBand="0" w:evenVBand="0" w:oddHBand="0" w:evenHBand="0" w:firstRowFirstColumn="0" w:firstRowLastColumn="0" w:lastRowFirstColumn="0" w:lastRowLastColumn="0"/>
              <w:rPr>
                <w:sz w:val="20"/>
                <w:szCs w:val="20"/>
              </w:rPr>
            </w:pPr>
            <w:r w:rsidRPr="002725F6">
              <w:rPr>
                <w:sz w:val="20"/>
                <w:szCs w:val="20"/>
              </w:rPr>
              <w:t>More Information</w:t>
            </w:r>
          </w:p>
        </w:tc>
      </w:tr>
      <w:tr w:rsidR="00636DD8" w:rsidRPr="002725F6" w:rsidTr="002725F6">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Agriculture, Food &amp; Natural Resources</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Curriculum for Agricultural Science (CASE) Institute</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sz w:val="20"/>
                <w:szCs w:val="20"/>
              </w:rPr>
            </w:pPr>
            <w:hyperlink r:id="rId15" w:history="1">
              <w:r w:rsidR="00636DD8" w:rsidRPr="002725F6">
                <w:rPr>
                  <w:rStyle w:val="Hyperlink"/>
                  <w:sz w:val="20"/>
                  <w:szCs w:val="20"/>
                </w:rPr>
                <w:t>http://www.case4learning.org/index.php/professional-development/case-institute/case-institute-offerings</w:t>
              </w:r>
            </w:hyperlink>
          </w:p>
        </w:tc>
      </w:tr>
      <w:tr w:rsidR="00636DD8" w:rsidRPr="002725F6" w:rsidTr="002725F6">
        <w:trPr>
          <w:cnfStyle w:val="000000010000" w:firstRow="0" w:lastRow="0" w:firstColumn="0" w:lastColumn="0" w:oddVBand="0" w:evenVBand="0" w:oddHBand="0" w:evenHBand="1"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Architecture &amp; Construction</w:t>
            </w:r>
          </w:p>
        </w:tc>
        <w:tc>
          <w:tcPr>
            <w:tcW w:w="3453" w:type="dxa"/>
            <w:tcBorders>
              <w:left w:val="none" w:sz="0" w:space="0" w:color="auto"/>
              <w:right w:val="none" w:sz="0"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Geometry &amp; Construction Training</w:t>
            </w:r>
          </w:p>
        </w:tc>
        <w:tc>
          <w:tcPr>
            <w:tcW w:w="4082" w:type="dxa"/>
            <w:tcBorders>
              <w:left w:val="none" w:sz="0"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sz w:val="20"/>
                <w:szCs w:val="20"/>
              </w:rPr>
            </w:pPr>
            <w:hyperlink r:id="rId16" w:history="1">
              <w:r w:rsidR="00636DD8" w:rsidRPr="002725F6">
                <w:rPr>
                  <w:rStyle w:val="Hyperlink"/>
                  <w:sz w:val="20"/>
                  <w:szCs w:val="20"/>
                </w:rPr>
                <w:t>http://www.contextuallc.com/geometry-in-construction/workshops/</w:t>
              </w:r>
            </w:hyperlink>
          </w:p>
        </w:tc>
      </w:tr>
      <w:tr w:rsidR="00636DD8" w:rsidRPr="002725F6" w:rsidTr="00636DD8">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Arts, AV Technology &amp; Communications</w:t>
            </w:r>
          </w:p>
        </w:tc>
        <w:tc>
          <w:tcPr>
            <w:tcW w:w="3453" w:type="dxa"/>
            <w:tcBorders>
              <w:left w:val="none" w:sz="0" w:space="0" w:color="auto"/>
              <w:right w:val="none" w:sz="0" w:space="0" w:color="auto"/>
            </w:tcBorders>
          </w:tcPr>
          <w:p w:rsidR="00636DD8" w:rsidRPr="002725F6" w:rsidRDefault="0037184D" w:rsidP="0037184D">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ISM Sneak on the Lot Training</w:t>
            </w:r>
          </w:p>
        </w:tc>
        <w:tc>
          <w:tcPr>
            <w:tcW w:w="4082" w:type="dxa"/>
            <w:tcBorders>
              <w:left w:val="none" w:sz="0" w:space="0" w:color="auto"/>
            </w:tcBorders>
          </w:tcPr>
          <w:p w:rsidR="00636DD8" w:rsidRPr="002725F6" w:rsidRDefault="00795407" w:rsidP="0037184D">
            <w:pPr>
              <w:cnfStyle w:val="000000100000" w:firstRow="0" w:lastRow="0" w:firstColumn="0" w:lastColumn="0" w:oddVBand="0" w:evenVBand="0" w:oddHBand="1" w:evenHBand="0" w:firstRowFirstColumn="0" w:firstRowLastColumn="0" w:lastRowFirstColumn="0" w:lastRowLastColumn="0"/>
              <w:rPr>
                <w:sz w:val="20"/>
                <w:szCs w:val="20"/>
              </w:rPr>
            </w:pPr>
            <w:hyperlink r:id="rId17" w:history="1">
              <w:r w:rsidR="002725F6" w:rsidRPr="002725F6">
                <w:rPr>
                  <w:rStyle w:val="Hyperlink"/>
                  <w:rFonts w:eastAsiaTheme="minorHAnsi" w:cs="Palatino-Roman"/>
                  <w:sz w:val="20"/>
                  <w:szCs w:val="20"/>
                </w:rPr>
                <w:t>www.ismworkshops.com</w:t>
              </w:r>
            </w:hyperlink>
            <w:r w:rsidR="002725F6" w:rsidRPr="002725F6">
              <w:rPr>
                <w:rFonts w:eastAsiaTheme="minorHAnsi" w:cs="Palatino-Roman"/>
                <w:color w:val="00009A"/>
                <w:sz w:val="20"/>
                <w:szCs w:val="20"/>
              </w:rPr>
              <w:t xml:space="preserve"> </w:t>
            </w:r>
          </w:p>
        </w:tc>
      </w:tr>
      <w:tr w:rsidR="00636DD8" w:rsidRPr="002725F6" w:rsidTr="002725F6">
        <w:trPr>
          <w:cnfStyle w:val="000000010000" w:firstRow="0" w:lastRow="0" w:firstColumn="0" w:lastColumn="0" w:oddVBand="0" w:evenVBand="0" w:oddHBand="0" w:evenHBand="1"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Business Management &amp; Administration</w:t>
            </w:r>
          </w:p>
        </w:tc>
        <w:tc>
          <w:tcPr>
            <w:tcW w:w="3453" w:type="dxa"/>
            <w:tcBorders>
              <w:left w:val="none" w:sz="0" w:space="0" w:color="auto"/>
              <w:right w:val="none" w:sz="0"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National Business Educators Association Conference</w:t>
            </w:r>
          </w:p>
        </w:tc>
        <w:tc>
          <w:tcPr>
            <w:tcW w:w="4082" w:type="dxa"/>
            <w:tcBorders>
              <w:left w:val="none" w:sz="0"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bCs/>
                <w:sz w:val="20"/>
                <w:szCs w:val="20"/>
              </w:rPr>
            </w:pPr>
            <w:hyperlink r:id="rId18" w:history="1">
              <w:r w:rsidR="00636DD8" w:rsidRPr="002725F6">
                <w:rPr>
                  <w:rStyle w:val="Hyperlink"/>
                  <w:sz w:val="20"/>
                  <w:szCs w:val="20"/>
                </w:rPr>
                <w:t>https://www.nbea.org/newsite/conferences/convention/documents/2017PreliminarySchedule_Final.pdf</w:t>
              </w:r>
            </w:hyperlink>
          </w:p>
        </w:tc>
      </w:tr>
      <w:tr w:rsidR="00636DD8" w:rsidRPr="002725F6" w:rsidTr="00636DD8">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Microsoft Office Certifications (classroom set)</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bCs/>
                <w:sz w:val="20"/>
                <w:szCs w:val="20"/>
              </w:rPr>
            </w:pPr>
            <w:hyperlink r:id="rId19" w:history="1">
              <w:r w:rsidR="00636DD8" w:rsidRPr="002725F6">
                <w:rPr>
                  <w:rStyle w:val="Hyperlink"/>
                  <w:bCs/>
                  <w:sz w:val="20"/>
                  <w:szCs w:val="20"/>
                </w:rPr>
                <w:t>https://www.gmetrix.com/Products/Products</w:t>
              </w:r>
            </w:hyperlink>
            <w:r w:rsidR="00636DD8" w:rsidRPr="002725F6">
              <w:rPr>
                <w:bCs/>
                <w:sz w:val="20"/>
                <w:szCs w:val="20"/>
              </w:rPr>
              <w:t xml:space="preserve"> </w:t>
            </w:r>
          </w:p>
        </w:tc>
      </w:tr>
      <w:tr w:rsidR="00636DD8" w:rsidRPr="002725F6" w:rsidTr="00636DD8">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Education &amp; Training</w:t>
            </w:r>
          </w:p>
        </w:tc>
        <w:tc>
          <w:tcPr>
            <w:tcW w:w="3453" w:type="dxa"/>
            <w:tcBorders>
              <w:left w:val="none" w:sz="0" w:space="0" w:color="auto"/>
              <w:right w:val="none" w:sz="0" w:space="0" w:color="auto"/>
            </w:tcBorders>
          </w:tcPr>
          <w:p w:rsidR="00636DD8" w:rsidRPr="002725F6" w:rsidRDefault="00641923"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ISTE Conference</w:t>
            </w:r>
          </w:p>
        </w:tc>
        <w:tc>
          <w:tcPr>
            <w:tcW w:w="4082" w:type="dxa"/>
            <w:tcBorders>
              <w:left w:val="none" w:sz="0" w:space="0" w:color="auto"/>
            </w:tcBorders>
          </w:tcPr>
          <w:p w:rsidR="00636DD8" w:rsidRPr="002725F6" w:rsidRDefault="00795407" w:rsidP="00641923">
            <w:pPr>
              <w:cnfStyle w:val="000000010000" w:firstRow="0" w:lastRow="0" w:firstColumn="0" w:lastColumn="0" w:oddVBand="0" w:evenVBand="0" w:oddHBand="0" w:evenHBand="1" w:firstRowFirstColumn="0" w:firstRowLastColumn="0" w:lastRowFirstColumn="0" w:lastRowLastColumn="0"/>
              <w:rPr>
                <w:color w:val="1F497D"/>
                <w:sz w:val="20"/>
                <w:szCs w:val="20"/>
              </w:rPr>
            </w:pPr>
            <w:hyperlink r:id="rId20" w:history="1">
              <w:r w:rsidR="00641923" w:rsidRPr="002725F6">
                <w:rPr>
                  <w:rStyle w:val="Hyperlink"/>
                  <w:sz w:val="20"/>
                  <w:szCs w:val="20"/>
                </w:rPr>
                <w:t>http://conference.iste.org/2017/</w:t>
              </w:r>
            </w:hyperlink>
          </w:p>
        </w:tc>
      </w:tr>
      <w:tr w:rsidR="00636DD8" w:rsidRPr="002725F6" w:rsidTr="00636DD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Finance</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Academy of Finance</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bCs/>
                <w:sz w:val="20"/>
                <w:szCs w:val="20"/>
              </w:rPr>
            </w:pPr>
            <w:hyperlink r:id="rId21" w:history="1">
              <w:r w:rsidR="00636DD8" w:rsidRPr="002725F6">
                <w:rPr>
                  <w:rStyle w:val="Hyperlink"/>
                  <w:sz w:val="20"/>
                  <w:szCs w:val="20"/>
                </w:rPr>
                <w:t>http://naf.org/event/naf-next-2017</w:t>
              </w:r>
            </w:hyperlink>
          </w:p>
        </w:tc>
      </w:tr>
      <w:tr w:rsidR="00636DD8" w:rsidRPr="002725F6" w:rsidTr="00636DD8">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Health Science</w:t>
            </w:r>
          </w:p>
        </w:tc>
        <w:tc>
          <w:tcPr>
            <w:tcW w:w="3453" w:type="dxa"/>
            <w:tcBorders>
              <w:left w:val="none" w:sz="0" w:space="0" w:color="auto"/>
              <w:right w:val="none" w:sz="0"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PLTW Biomed Core Training</w:t>
            </w:r>
          </w:p>
        </w:tc>
        <w:tc>
          <w:tcPr>
            <w:tcW w:w="4082" w:type="dxa"/>
            <w:tcBorders>
              <w:left w:val="none" w:sz="0"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sz w:val="20"/>
                <w:szCs w:val="20"/>
              </w:rPr>
            </w:pPr>
            <w:hyperlink r:id="rId22" w:history="1">
              <w:r w:rsidR="00636DD8" w:rsidRPr="002725F6">
                <w:rPr>
                  <w:rStyle w:val="Hyperlink"/>
                  <w:sz w:val="20"/>
                  <w:szCs w:val="20"/>
                </w:rPr>
                <w:t>www.pltw.org</w:t>
              </w:r>
            </w:hyperlink>
          </w:p>
        </w:tc>
      </w:tr>
      <w:tr w:rsidR="00636DD8" w:rsidRPr="002725F6" w:rsidTr="002725F6">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Hospitality &amp; Tourism</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ProStart Training</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sz w:val="20"/>
                <w:szCs w:val="20"/>
              </w:rPr>
            </w:pPr>
            <w:hyperlink r:id="rId23" w:history="1">
              <w:r w:rsidR="00636DD8" w:rsidRPr="002725F6">
                <w:rPr>
                  <w:rStyle w:val="Hyperlink"/>
                  <w:sz w:val="20"/>
                  <w:szCs w:val="20"/>
                </w:rPr>
                <w:t>https://www.chooserestaurants.org/Programs-and-Scholarships/Professional-Development/Summer-Institutes</w:t>
              </w:r>
            </w:hyperlink>
          </w:p>
        </w:tc>
      </w:tr>
      <w:tr w:rsidR="00636DD8" w:rsidRPr="002725F6" w:rsidTr="00641923">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bottom w:val="single" w:sz="4" w:space="0" w:color="auto"/>
              <w:right w:val="none" w:sz="0" w:space="0" w:color="auto"/>
            </w:tcBorders>
          </w:tcPr>
          <w:p w:rsidR="00636DD8" w:rsidRPr="002725F6" w:rsidRDefault="00636DD8" w:rsidP="0071690A">
            <w:pPr>
              <w:rPr>
                <w:sz w:val="20"/>
                <w:szCs w:val="20"/>
              </w:rPr>
            </w:pPr>
            <w:r w:rsidRPr="002725F6">
              <w:rPr>
                <w:sz w:val="20"/>
                <w:szCs w:val="20"/>
              </w:rPr>
              <w:t>Human Services</w:t>
            </w:r>
          </w:p>
        </w:tc>
        <w:tc>
          <w:tcPr>
            <w:tcW w:w="3453" w:type="dxa"/>
            <w:tcBorders>
              <w:left w:val="none" w:sz="0" w:space="0" w:color="auto"/>
              <w:bottom w:val="single" w:sz="4" w:space="0" w:color="auto"/>
              <w:right w:val="none" w:sz="0" w:space="0" w:color="auto"/>
            </w:tcBorders>
          </w:tcPr>
          <w:p w:rsidR="00636DD8" w:rsidRPr="002725F6" w:rsidRDefault="00641923" w:rsidP="00641923">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 xml:space="preserve">National Extension Association of Family &amp; Consumer Sciences Annual Session </w:t>
            </w:r>
          </w:p>
        </w:tc>
        <w:tc>
          <w:tcPr>
            <w:tcW w:w="4082" w:type="dxa"/>
            <w:tcBorders>
              <w:left w:val="none" w:sz="0" w:space="0" w:color="auto"/>
              <w:bottom w:val="single" w:sz="4" w:space="0" w:color="auto"/>
            </w:tcBorders>
          </w:tcPr>
          <w:p w:rsidR="00636DD8" w:rsidRPr="002725F6" w:rsidRDefault="00795407" w:rsidP="00641923">
            <w:pPr>
              <w:cnfStyle w:val="000000010000" w:firstRow="0" w:lastRow="0" w:firstColumn="0" w:lastColumn="0" w:oddVBand="0" w:evenVBand="0" w:oddHBand="0" w:evenHBand="1" w:firstRowFirstColumn="0" w:firstRowLastColumn="0" w:lastRowFirstColumn="0" w:lastRowLastColumn="0"/>
              <w:rPr>
                <w:color w:val="1F497D"/>
                <w:sz w:val="20"/>
                <w:szCs w:val="20"/>
              </w:rPr>
            </w:pPr>
            <w:hyperlink r:id="rId24" w:history="1">
              <w:r w:rsidR="00641923" w:rsidRPr="002725F6">
                <w:rPr>
                  <w:rStyle w:val="Hyperlink"/>
                  <w:sz w:val="20"/>
                  <w:szCs w:val="20"/>
                </w:rPr>
                <w:t>https://neafcs.memberclicks.net/2017-annual-session</w:t>
              </w:r>
            </w:hyperlink>
          </w:p>
        </w:tc>
      </w:tr>
      <w:tr w:rsidR="00641923" w:rsidRPr="002725F6" w:rsidTr="00641923">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513" w:type="dxa"/>
            <w:tcBorders>
              <w:bottom w:val="single" w:sz="4" w:space="0" w:color="auto"/>
              <w:right w:val="single" w:sz="4" w:space="0" w:color="auto"/>
            </w:tcBorders>
          </w:tcPr>
          <w:p w:rsidR="00641923" w:rsidRPr="002725F6" w:rsidRDefault="00641923" w:rsidP="0071690A">
            <w:pPr>
              <w:rPr>
                <w:sz w:val="20"/>
                <w:szCs w:val="20"/>
              </w:rPr>
            </w:pPr>
          </w:p>
        </w:tc>
        <w:tc>
          <w:tcPr>
            <w:tcW w:w="3453" w:type="dxa"/>
            <w:tcBorders>
              <w:left w:val="single" w:sz="4" w:space="0" w:color="auto"/>
              <w:bottom w:val="single" w:sz="4" w:space="0" w:color="auto"/>
              <w:right w:val="single" w:sz="4" w:space="0" w:color="auto"/>
            </w:tcBorders>
          </w:tcPr>
          <w:p w:rsidR="00641923" w:rsidRPr="002725F6" w:rsidRDefault="00641923"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Child Development Associate Credential (Classroom Set)</w:t>
            </w:r>
          </w:p>
        </w:tc>
        <w:tc>
          <w:tcPr>
            <w:tcW w:w="4082" w:type="dxa"/>
            <w:tcBorders>
              <w:left w:val="single" w:sz="4" w:space="0" w:color="auto"/>
              <w:bottom w:val="single" w:sz="4" w:space="0" w:color="auto"/>
            </w:tcBorders>
          </w:tcPr>
          <w:p w:rsidR="00641923" w:rsidRPr="002725F6" w:rsidRDefault="00795407" w:rsidP="0071690A">
            <w:pPr>
              <w:cnfStyle w:val="000000100000" w:firstRow="0" w:lastRow="0" w:firstColumn="0" w:lastColumn="0" w:oddVBand="0" w:evenVBand="0" w:oddHBand="1" w:evenHBand="0" w:firstRowFirstColumn="0" w:firstRowLastColumn="0" w:lastRowFirstColumn="0" w:lastRowLastColumn="0"/>
              <w:rPr>
                <w:sz w:val="20"/>
                <w:szCs w:val="20"/>
              </w:rPr>
            </w:pPr>
            <w:hyperlink r:id="rId25" w:history="1">
              <w:r w:rsidR="00641923" w:rsidRPr="002725F6">
                <w:rPr>
                  <w:rStyle w:val="Hyperlink"/>
                  <w:sz w:val="20"/>
                  <w:szCs w:val="20"/>
                </w:rPr>
                <w:t>https://dss.sd.gov/childcare/educationalopportunities/associateproject.aspx</w:t>
              </w:r>
            </w:hyperlink>
            <w:r w:rsidR="00641923" w:rsidRPr="002725F6">
              <w:rPr>
                <w:sz w:val="20"/>
                <w:szCs w:val="20"/>
              </w:rPr>
              <w:t xml:space="preserve"> </w:t>
            </w:r>
          </w:p>
        </w:tc>
      </w:tr>
      <w:tr w:rsidR="00636DD8" w:rsidRPr="002725F6" w:rsidTr="00641923">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513" w:type="dxa"/>
            <w:tcBorders>
              <w:top w:val="single" w:sz="4" w:space="0" w:color="auto"/>
              <w:right w:val="none" w:sz="0" w:space="0" w:color="auto"/>
            </w:tcBorders>
          </w:tcPr>
          <w:p w:rsidR="00636DD8" w:rsidRPr="002725F6" w:rsidRDefault="00636DD8" w:rsidP="0071690A">
            <w:pPr>
              <w:rPr>
                <w:sz w:val="20"/>
                <w:szCs w:val="20"/>
              </w:rPr>
            </w:pPr>
            <w:r w:rsidRPr="002725F6">
              <w:rPr>
                <w:sz w:val="20"/>
                <w:szCs w:val="20"/>
              </w:rPr>
              <w:t>Information Technology</w:t>
            </w:r>
          </w:p>
        </w:tc>
        <w:tc>
          <w:tcPr>
            <w:tcW w:w="3453" w:type="dxa"/>
            <w:tcBorders>
              <w:top w:val="single" w:sz="4" w:space="0" w:color="auto"/>
              <w:left w:val="none" w:sz="0" w:space="0" w:color="auto"/>
              <w:right w:val="none" w:sz="0"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PLTW Computer Science Core Training</w:t>
            </w:r>
          </w:p>
        </w:tc>
        <w:tc>
          <w:tcPr>
            <w:tcW w:w="4082" w:type="dxa"/>
            <w:tcBorders>
              <w:top w:val="single" w:sz="4" w:space="0" w:color="auto"/>
              <w:left w:val="none" w:sz="0"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color w:val="1F497D"/>
                <w:sz w:val="20"/>
                <w:szCs w:val="20"/>
              </w:rPr>
            </w:pPr>
            <w:hyperlink r:id="rId26" w:history="1">
              <w:r w:rsidR="00636DD8" w:rsidRPr="002725F6">
                <w:rPr>
                  <w:rStyle w:val="Hyperlink"/>
                  <w:sz w:val="20"/>
                  <w:szCs w:val="20"/>
                </w:rPr>
                <w:t>www.pltw.org</w:t>
              </w:r>
            </w:hyperlink>
          </w:p>
        </w:tc>
      </w:tr>
      <w:tr w:rsidR="00636DD8" w:rsidRPr="002725F6" w:rsidTr="00641923">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Manufacturing</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Manufacturing &amp; Algebra I</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color w:val="1F497D"/>
                <w:sz w:val="20"/>
                <w:szCs w:val="20"/>
              </w:rPr>
            </w:pPr>
            <w:hyperlink r:id="rId27" w:history="1">
              <w:r w:rsidR="00636DD8" w:rsidRPr="002725F6">
                <w:rPr>
                  <w:rStyle w:val="Hyperlink"/>
                  <w:sz w:val="20"/>
                  <w:szCs w:val="20"/>
                </w:rPr>
                <w:t>http://www.contextuallc.com/amped/workshops/</w:t>
              </w:r>
            </w:hyperlink>
          </w:p>
        </w:tc>
      </w:tr>
      <w:tr w:rsidR="00636DD8" w:rsidRPr="002725F6" w:rsidTr="00641923">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bottom w:val="single" w:sz="4" w:space="0" w:color="auto"/>
              <w:right w:val="none" w:sz="0" w:space="0" w:color="auto"/>
            </w:tcBorders>
          </w:tcPr>
          <w:p w:rsidR="00636DD8" w:rsidRPr="002725F6" w:rsidRDefault="00636DD8" w:rsidP="0071690A">
            <w:pPr>
              <w:rPr>
                <w:sz w:val="20"/>
                <w:szCs w:val="20"/>
              </w:rPr>
            </w:pPr>
            <w:r w:rsidRPr="002725F6">
              <w:rPr>
                <w:sz w:val="20"/>
                <w:szCs w:val="20"/>
              </w:rPr>
              <w:t>Marketing</w:t>
            </w:r>
          </w:p>
        </w:tc>
        <w:tc>
          <w:tcPr>
            <w:tcW w:w="3453" w:type="dxa"/>
            <w:tcBorders>
              <w:left w:val="none" w:sz="0" w:space="0" w:color="auto"/>
              <w:bottom w:val="single" w:sz="4" w:space="0" w:color="auto"/>
              <w:right w:val="none" w:sz="0" w:space="0" w:color="auto"/>
            </w:tcBorders>
          </w:tcPr>
          <w:p w:rsidR="00636DD8" w:rsidRPr="002725F6" w:rsidRDefault="008C010C" w:rsidP="00ED42FC">
            <w:pPr>
              <w:autoSpaceDE w:val="0"/>
              <w:autoSpaceDN w:val="0"/>
              <w:spacing w:before="40" w:after="40"/>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DECA Amped Training</w:t>
            </w:r>
          </w:p>
        </w:tc>
        <w:tc>
          <w:tcPr>
            <w:tcW w:w="4082" w:type="dxa"/>
            <w:tcBorders>
              <w:left w:val="none" w:sz="0" w:space="0" w:color="auto"/>
              <w:bottom w:val="single" w:sz="4" w:space="0" w:color="auto"/>
            </w:tcBorders>
          </w:tcPr>
          <w:p w:rsidR="00636DD8" w:rsidRPr="002725F6" w:rsidRDefault="00795407" w:rsidP="00641923">
            <w:pPr>
              <w:autoSpaceDE w:val="0"/>
              <w:autoSpaceDN w:val="0"/>
              <w:spacing w:before="40" w:after="40"/>
              <w:cnfStyle w:val="000000010000" w:firstRow="0" w:lastRow="0" w:firstColumn="0" w:lastColumn="0" w:oddVBand="0" w:evenVBand="0" w:oddHBand="0" w:evenHBand="1" w:firstRowFirstColumn="0" w:firstRowLastColumn="0" w:lastRowFirstColumn="0" w:lastRowLastColumn="0"/>
              <w:rPr>
                <w:sz w:val="20"/>
                <w:szCs w:val="20"/>
              </w:rPr>
            </w:pPr>
            <w:hyperlink r:id="rId28" w:history="1">
              <w:r w:rsidR="008C010C" w:rsidRPr="002725F6">
                <w:rPr>
                  <w:rStyle w:val="Hyperlink"/>
                  <w:sz w:val="20"/>
                  <w:szCs w:val="20"/>
                </w:rPr>
                <w:t>https://www.deca.org/amped/</w:t>
              </w:r>
            </w:hyperlink>
            <w:r w:rsidR="008C010C" w:rsidRPr="002725F6">
              <w:rPr>
                <w:sz w:val="20"/>
                <w:szCs w:val="20"/>
              </w:rPr>
              <w:t xml:space="preserve"> </w:t>
            </w:r>
          </w:p>
        </w:tc>
      </w:tr>
      <w:tr w:rsidR="00636DD8" w:rsidRPr="002725F6" w:rsidTr="00636DD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STEM</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PLTW Engineering Core Training</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sz w:val="20"/>
                <w:szCs w:val="20"/>
              </w:rPr>
            </w:pPr>
            <w:hyperlink r:id="rId29" w:history="1">
              <w:r w:rsidR="00636DD8" w:rsidRPr="002725F6">
                <w:rPr>
                  <w:rStyle w:val="Hyperlink"/>
                  <w:sz w:val="20"/>
                  <w:szCs w:val="20"/>
                </w:rPr>
                <w:t>www.pltw.org</w:t>
              </w:r>
            </w:hyperlink>
          </w:p>
        </w:tc>
      </w:tr>
      <w:tr w:rsidR="00636DD8" w:rsidRPr="002725F6" w:rsidTr="00636DD8">
        <w:trPr>
          <w:cnfStyle w:val="000000010000" w:firstRow="0" w:lastRow="0" w:firstColumn="0" w:lastColumn="0" w:oddVBand="0" w:evenVBand="0" w:oddHBand="0" w:evenHBand="1"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3" w:type="dxa"/>
            <w:tcBorders>
              <w:bottom w:val="single" w:sz="4" w:space="0" w:color="auto"/>
              <w:right w:val="none" w:sz="0" w:space="0" w:color="auto"/>
            </w:tcBorders>
          </w:tcPr>
          <w:p w:rsidR="00636DD8" w:rsidRPr="002725F6" w:rsidRDefault="00636DD8" w:rsidP="0071690A">
            <w:pPr>
              <w:rPr>
                <w:sz w:val="20"/>
                <w:szCs w:val="20"/>
              </w:rPr>
            </w:pPr>
            <w:r w:rsidRPr="002725F6">
              <w:rPr>
                <w:sz w:val="20"/>
                <w:szCs w:val="20"/>
              </w:rPr>
              <w:t>Transportation, Distribution &amp; Logistics</w:t>
            </w:r>
          </w:p>
        </w:tc>
        <w:tc>
          <w:tcPr>
            <w:tcW w:w="3453" w:type="dxa"/>
            <w:tcBorders>
              <w:left w:val="none" w:sz="0" w:space="0" w:color="auto"/>
              <w:bottom w:val="single" w:sz="4" w:space="0" w:color="auto"/>
              <w:right w:val="none" w:sz="0"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NACAT Conference</w:t>
            </w:r>
          </w:p>
        </w:tc>
        <w:tc>
          <w:tcPr>
            <w:tcW w:w="4082" w:type="dxa"/>
            <w:tcBorders>
              <w:left w:val="none" w:sz="0" w:space="0" w:color="auto"/>
              <w:bottom w:val="single" w:sz="4"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sz w:val="20"/>
                <w:szCs w:val="20"/>
              </w:rPr>
            </w:pPr>
            <w:hyperlink r:id="rId30" w:history="1">
              <w:r w:rsidR="00636DD8" w:rsidRPr="002725F6">
                <w:rPr>
                  <w:rStyle w:val="Hyperlink"/>
                  <w:sz w:val="20"/>
                  <w:szCs w:val="20"/>
                </w:rPr>
                <w:t>http://www.nacatconference.org/index.php/attend-main</w:t>
              </w:r>
            </w:hyperlink>
            <w:r w:rsidR="00636DD8" w:rsidRPr="002725F6">
              <w:rPr>
                <w:sz w:val="20"/>
                <w:szCs w:val="20"/>
              </w:rPr>
              <w:t xml:space="preserve"> </w:t>
            </w:r>
          </w:p>
        </w:tc>
      </w:tr>
      <w:tr w:rsidR="00636DD8" w:rsidRPr="002725F6" w:rsidTr="00636DD8">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3513" w:type="dxa"/>
            <w:tcBorders>
              <w:right w:val="none" w:sz="0" w:space="0" w:color="auto"/>
            </w:tcBorders>
          </w:tcPr>
          <w:p w:rsidR="00636DD8" w:rsidRPr="002725F6" w:rsidRDefault="00636DD8" w:rsidP="0071690A">
            <w:pPr>
              <w:rPr>
                <w:sz w:val="20"/>
                <w:szCs w:val="20"/>
              </w:rPr>
            </w:pPr>
            <w:r w:rsidRPr="002725F6">
              <w:rPr>
                <w:sz w:val="20"/>
                <w:szCs w:val="20"/>
              </w:rPr>
              <w:t>School Counseling</w:t>
            </w:r>
          </w:p>
        </w:tc>
        <w:tc>
          <w:tcPr>
            <w:tcW w:w="3453" w:type="dxa"/>
            <w:tcBorders>
              <w:left w:val="none" w:sz="0" w:space="0" w:color="auto"/>
              <w:right w:val="none" w:sz="0" w:space="0" w:color="auto"/>
            </w:tcBorders>
          </w:tcPr>
          <w:p w:rsidR="00636DD8" w:rsidRPr="002725F6" w:rsidRDefault="00636DD8" w:rsidP="0071690A">
            <w:pPr>
              <w:cnfStyle w:val="000000100000" w:firstRow="0" w:lastRow="0" w:firstColumn="0" w:lastColumn="0" w:oddVBand="0" w:evenVBand="0" w:oddHBand="1" w:evenHBand="0" w:firstRowFirstColumn="0" w:firstRowLastColumn="0" w:lastRowFirstColumn="0" w:lastRowLastColumn="0"/>
              <w:rPr>
                <w:sz w:val="20"/>
                <w:szCs w:val="20"/>
              </w:rPr>
            </w:pPr>
            <w:r w:rsidRPr="002725F6">
              <w:rPr>
                <w:sz w:val="20"/>
                <w:szCs w:val="20"/>
              </w:rPr>
              <w:t>RAMP Camp</w:t>
            </w:r>
          </w:p>
        </w:tc>
        <w:tc>
          <w:tcPr>
            <w:tcW w:w="4082" w:type="dxa"/>
            <w:tcBorders>
              <w:left w:val="none" w:sz="0" w:space="0" w:color="auto"/>
            </w:tcBorders>
          </w:tcPr>
          <w:p w:rsidR="00636DD8" w:rsidRPr="002725F6" w:rsidRDefault="00795407" w:rsidP="0071690A">
            <w:pPr>
              <w:cnfStyle w:val="000000100000" w:firstRow="0" w:lastRow="0" w:firstColumn="0" w:lastColumn="0" w:oddVBand="0" w:evenVBand="0" w:oddHBand="1" w:evenHBand="0" w:firstRowFirstColumn="0" w:firstRowLastColumn="0" w:lastRowFirstColumn="0" w:lastRowLastColumn="0"/>
              <w:rPr>
                <w:sz w:val="20"/>
                <w:szCs w:val="20"/>
              </w:rPr>
            </w:pPr>
            <w:hyperlink r:id="rId31" w:history="1">
              <w:r w:rsidR="00636DD8" w:rsidRPr="002725F6">
                <w:rPr>
                  <w:rStyle w:val="Hyperlink"/>
                  <w:sz w:val="20"/>
                  <w:szCs w:val="20"/>
                </w:rPr>
                <w:t>http://www.schoolcounselor.org/school-counselors-members/professional-development/site-based-training/rampcamp</w:t>
              </w:r>
            </w:hyperlink>
          </w:p>
        </w:tc>
      </w:tr>
      <w:tr w:rsidR="00636DD8" w:rsidRPr="002725F6" w:rsidTr="00636DD8">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513" w:type="dxa"/>
            <w:tcBorders>
              <w:right w:val="single" w:sz="4" w:space="0" w:color="auto"/>
            </w:tcBorders>
          </w:tcPr>
          <w:p w:rsidR="00636DD8" w:rsidRPr="002725F6" w:rsidRDefault="00636DD8" w:rsidP="0071690A">
            <w:pPr>
              <w:rPr>
                <w:sz w:val="20"/>
                <w:szCs w:val="20"/>
              </w:rPr>
            </w:pPr>
          </w:p>
        </w:tc>
        <w:tc>
          <w:tcPr>
            <w:tcW w:w="3453" w:type="dxa"/>
            <w:tcBorders>
              <w:left w:val="single" w:sz="4" w:space="0" w:color="auto"/>
              <w:right w:val="single" w:sz="4" w:space="0" w:color="auto"/>
            </w:tcBorders>
          </w:tcPr>
          <w:p w:rsidR="00636DD8" w:rsidRPr="002725F6" w:rsidRDefault="00636DD8" w:rsidP="0071690A">
            <w:pPr>
              <w:cnfStyle w:val="000000010000" w:firstRow="0" w:lastRow="0" w:firstColumn="0" w:lastColumn="0" w:oddVBand="0" w:evenVBand="0" w:oddHBand="0" w:evenHBand="1" w:firstRowFirstColumn="0" w:firstRowLastColumn="0" w:lastRowFirstColumn="0" w:lastRowLastColumn="0"/>
              <w:rPr>
                <w:sz w:val="20"/>
                <w:szCs w:val="20"/>
              </w:rPr>
            </w:pPr>
            <w:r w:rsidRPr="002725F6">
              <w:rPr>
                <w:sz w:val="20"/>
                <w:szCs w:val="20"/>
              </w:rPr>
              <w:t>ASCA Conference</w:t>
            </w:r>
          </w:p>
        </w:tc>
        <w:tc>
          <w:tcPr>
            <w:tcW w:w="4082" w:type="dxa"/>
            <w:tcBorders>
              <w:left w:val="single" w:sz="4" w:space="0" w:color="auto"/>
            </w:tcBorders>
          </w:tcPr>
          <w:p w:rsidR="00636DD8" w:rsidRPr="002725F6" w:rsidRDefault="00795407" w:rsidP="0071690A">
            <w:pPr>
              <w:cnfStyle w:val="000000010000" w:firstRow="0" w:lastRow="0" w:firstColumn="0" w:lastColumn="0" w:oddVBand="0" w:evenVBand="0" w:oddHBand="0" w:evenHBand="1" w:firstRowFirstColumn="0" w:firstRowLastColumn="0" w:lastRowFirstColumn="0" w:lastRowLastColumn="0"/>
              <w:rPr>
                <w:sz w:val="20"/>
                <w:szCs w:val="20"/>
              </w:rPr>
            </w:pPr>
            <w:hyperlink r:id="rId32" w:history="1">
              <w:r w:rsidR="00636DD8" w:rsidRPr="002725F6">
                <w:rPr>
                  <w:rStyle w:val="Hyperlink"/>
                  <w:sz w:val="20"/>
                  <w:szCs w:val="20"/>
                </w:rPr>
                <w:t>https://www.ascaconferences.org/</w:t>
              </w:r>
            </w:hyperlink>
          </w:p>
        </w:tc>
      </w:tr>
    </w:tbl>
    <w:p w:rsidR="00636DD8" w:rsidRPr="002725F6" w:rsidRDefault="00636DD8">
      <w:pPr>
        <w:rPr>
          <w:rStyle w:val="Strong"/>
          <w:sz w:val="20"/>
          <w:szCs w:val="20"/>
        </w:rPr>
      </w:pPr>
    </w:p>
    <w:p w:rsidR="000A3C9D" w:rsidRPr="00697BB7" w:rsidRDefault="000A3C9D" w:rsidP="00697BB7">
      <w:pPr>
        <w:spacing w:after="0"/>
        <w:ind w:left="-720"/>
        <w:rPr>
          <w:rStyle w:val="Strong"/>
          <w:sz w:val="24"/>
          <w:szCs w:val="28"/>
        </w:rPr>
      </w:pPr>
      <w:r w:rsidRPr="00697BB7">
        <w:rPr>
          <w:rStyle w:val="Strong"/>
          <w:sz w:val="24"/>
          <w:szCs w:val="28"/>
        </w:rPr>
        <w:t>General Assurances</w:t>
      </w:r>
    </w:p>
    <w:p w:rsidR="000A3C9D" w:rsidRPr="00F35060" w:rsidRDefault="000A3C9D" w:rsidP="000A3C9D">
      <w:pPr>
        <w:pStyle w:val="Subtitle"/>
        <w:spacing w:after="0"/>
        <w:rPr>
          <w:rFonts w:asciiTheme="minorHAnsi" w:hAnsiTheme="minorHAnsi"/>
          <w:i w:val="0"/>
          <w:color w:val="auto"/>
          <w:sz w:val="22"/>
        </w:rPr>
      </w:pPr>
      <w:r w:rsidRPr="00F35060">
        <w:rPr>
          <w:rFonts w:asciiTheme="minorHAnsi" w:hAnsiTheme="minorHAnsi"/>
          <w:i w:val="0"/>
          <w:color w:val="auto"/>
          <w:sz w:val="22"/>
        </w:rPr>
        <w:t>This applicant certifies to the South Dakota Board of Education that:</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All programs, services and activities covered by this application will be conducted in accordance with the Perkins Act of 2006, Regulations and the State Plan.</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Federal funds made available will be used to supplement and, to the extent practical, to increase the amount of local funds that would, in the absence of such federal funds, be made available, and in no case to supplant such local funds; supporting documents will be maintained for audit that specifically identify the purpose for which federal funds have been expended.</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By accepting federal funds, the recipient hereby agrees to establish and maintain fiscal control and accounting procedures, as set forth in current federal regulations, in order to ensure proper disbursement of, and accounting for, federal funds for the intended purpose.</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By accepting federal and/or state funds, the recipient hereby agrees to repay any funds that have been finally determined through the federal or state audit resolution process to have been misspent, misapplied or otherwise not properly accounted for.</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 xml:space="preserve">Equipment purchased and </w:t>
      </w:r>
      <w:proofErr w:type="gramStart"/>
      <w:r w:rsidRPr="006C489F">
        <w:rPr>
          <w:rFonts w:cstheme="minorHAnsi"/>
          <w:sz w:val="20"/>
          <w:szCs w:val="20"/>
        </w:rPr>
        <w:t>curriculum developed with federal funds remain</w:t>
      </w:r>
      <w:proofErr w:type="gramEnd"/>
      <w:r w:rsidRPr="006C489F">
        <w:rPr>
          <w:rFonts w:cstheme="minorHAnsi"/>
          <w:sz w:val="20"/>
          <w:szCs w:val="20"/>
        </w:rPr>
        <w:t xml:space="preserve"> the property of the State of South Dakota.</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The local application has been developed taking into consideration other educational and training resources available in the area including private and trade schools.</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The applicant maintains documentation to verify the eligibility of students enrolled in programs supported by federal funds for education of students who are members of special populations.</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The local applicant agrees to comply with all state and federal rules and regulations regarding nondiscrimination on the basis of disability, race, color, national origin and sex.</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 xml:space="preserve">The local applicant agrees that if a curriculum grant is approved, two copies of the materials, booklets, etc. must be sent to </w:t>
      </w:r>
      <w:r>
        <w:rPr>
          <w:rFonts w:cstheme="minorHAnsi"/>
          <w:sz w:val="20"/>
          <w:szCs w:val="20"/>
        </w:rPr>
        <w:t xml:space="preserve">the Division of Career &amp; Technical Education </w:t>
      </w:r>
      <w:r w:rsidRPr="006C489F">
        <w:rPr>
          <w:rFonts w:cstheme="minorHAnsi"/>
          <w:sz w:val="20"/>
          <w:szCs w:val="20"/>
        </w:rPr>
        <w:t>before final payment is made.</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The state may terminate this grant within 30 days after approval for violation of this agreement or applicable regulations.</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Funds expended under this Act will not be used to acquire equipment (including computer software) in any instance in which such acquisition results in a direct financial benefit to any organization representing the interest of the purchasing entity or its employees or any affiliate of such an organization.</w:t>
      </w:r>
      <w:r>
        <w:rPr>
          <w:rFonts w:cstheme="minorHAnsi"/>
          <w:sz w:val="20"/>
          <w:szCs w:val="20"/>
        </w:rPr>
        <w:t xml:space="preserve"> </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State and local funds will be used in the schools that are receiving federal funds under the Act to provide services that, taken as a whole, are at least comparable to services being provided in schools that are not receiving such federal funds.</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 xml:space="preserve">Individuals who are members of special populations will be provided with equal access to recruitment, enrollment and placement activities </w:t>
      </w:r>
      <w:r w:rsidRPr="006C489F">
        <w:rPr>
          <w:rFonts w:cstheme="minorHAnsi"/>
          <w:sz w:val="20"/>
          <w:szCs w:val="20"/>
        </w:rPr>
        <w:fldChar w:fldCharType="begin"/>
      </w:r>
      <w:r w:rsidRPr="006C489F">
        <w:rPr>
          <w:rFonts w:cstheme="minorHAnsi"/>
          <w:sz w:val="20"/>
          <w:szCs w:val="20"/>
        </w:rPr>
        <w:instrText>fillin "" \d ""</w:instrText>
      </w:r>
      <w:r w:rsidRPr="006C489F">
        <w:rPr>
          <w:rFonts w:cstheme="minorHAnsi"/>
          <w:sz w:val="20"/>
          <w:szCs w:val="20"/>
        </w:rPr>
        <w:fldChar w:fldCharType="end"/>
      </w:r>
      <w:r w:rsidRPr="006C489F">
        <w:rPr>
          <w:rFonts w:cstheme="minorHAnsi"/>
          <w:sz w:val="20"/>
          <w:szCs w:val="20"/>
        </w:rPr>
        <w:t>to the full range of career and technical education programs available to individuals who are not members of special populations, including occupationally specific courses of study, cooperative education, apprenticeship programs and, to the extent practicable, comprehensive career guidance and counseling services, and shall not be discriminated against on the basis of their status as members of special populations.</w:t>
      </w:r>
      <w:r>
        <w:rPr>
          <w:rFonts w:cstheme="minorHAnsi"/>
          <w:sz w:val="20"/>
          <w:szCs w:val="20"/>
        </w:rPr>
        <w:t xml:space="preserve"> </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Career and technical education planning for individuals with disabilities will be coordinated between appropriate representatives of career and technical education, special education and state vocational rehabilitation agencies.</w:t>
      </w:r>
    </w:p>
    <w:p w:rsidR="000A3C9D" w:rsidRPr="006C489F" w:rsidRDefault="000A3C9D" w:rsidP="000A3C9D">
      <w:pPr>
        <w:pStyle w:val="ListParagraph"/>
        <w:numPr>
          <w:ilvl w:val="0"/>
          <w:numId w:val="8"/>
        </w:numPr>
        <w:spacing w:after="0"/>
        <w:rPr>
          <w:rFonts w:cstheme="minorHAnsi"/>
          <w:sz w:val="20"/>
          <w:szCs w:val="20"/>
        </w:rPr>
      </w:pPr>
      <w:r w:rsidRPr="006C489F">
        <w:rPr>
          <w:rFonts w:cstheme="minorHAnsi"/>
          <w:sz w:val="20"/>
          <w:szCs w:val="20"/>
        </w:rPr>
        <w:t>The provision of career and technical education will be monitored to ensure that disadvantaged students and students of limited English proficiency have access to such education in the most integrated setting possible.</w:t>
      </w:r>
      <w:r>
        <w:rPr>
          <w:rFonts w:cstheme="minorHAnsi"/>
          <w:sz w:val="20"/>
          <w:szCs w:val="20"/>
        </w:rPr>
        <w:t xml:space="preserve"> </w:t>
      </w:r>
      <w:r w:rsidRPr="006C489F">
        <w:rPr>
          <w:rFonts w:cstheme="minorHAnsi"/>
          <w:sz w:val="20"/>
          <w:szCs w:val="20"/>
        </w:rPr>
        <w:t xml:space="preserve"> </w:t>
      </w:r>
    </w:p>
    <w:p w:rsidR="000A3C9D" w:rsidRDefault="000A3C9D" w:rsidP="000A3C9D">
      <w:pPr>
        <w:pStyle w:val="ListParagraph"/>
        <w:numPr>
          <w:ilvl w:val="0"/>
          <w:numId w:val="8"/>
        </w:numPr>
        <w:spacing w:after="0"/>
        <w:rPr>
          <w:rFonts w:cstheme="minorHAnsi"/>
          <w:sz w:val="20"/>
          <w:szCs w:val="20"/>
        </w:rPr>
      </w:pPr>
      <w:r w:rsidRPr="006C489F">
        <w:rPr>
          <w:rFonts w:cstheme="minorHAnsi"/>
          <w:sz w:val="20"/>
          <w:szCs w:val="20"/>
        </w:rPr>
        <w:t xml:space="preserve">Career and technical education programs/support activities funded under </w:t>
      </w:r>
      <w:smartTag w:uri="urn:schemas-microsoft-com:office:smarttags" w:element="PersonName">
        <w:r w:rsidRPr="006C489F">
          <w:rPr>
            <w:rFonts w:cstheme="minorHAnsi"/>
            <w:sz w:val="20"/>
            <w:szCs w:val="20"/>
          </w:rPr>
          <w:t>Title</w:t>
        </w:r>
      </w:smartTag>
      <w:r w:rsidRPr="006C489F">
        <w:rPr>
          <w:rFonts w:cstheme="minorHAnsi"/>
          <w:sz w:val="20"/>
          <w:szCs w:val="20"/>
        </w:rPr>
        <w:t xml:space="preserve"> I, Part C, in a consortium arrangement shall be available to </w:t>
      </w:r>
      <w:smartTag w:uri="urn:schemas-microsoft-com:office:smarttags" w:element="stockticker">
        <w:r w:rsidRPr="00D6689D">
          <w:rPr>
            <w:rFonts w:cstheme="minorHAnsi"/>
            <w:b/>
            <w:sz w:val="20"/>
            <w:szCs w:val="20"/>
          </w:rPr>
          <w:t>ALL</w:t>
        </w:r>
      </w:smartTag>
      <w:r w:rsidRPr="006C489F">
        <w:rPr>
          <w:rFonts w:cstheme="minorHAnsi"/>
          <w:sz w:val="20"/>
          <w:szCs w:val="20"/>
        </w:rPr>
        <w:t xml:space="preserve"> students of the participating LEAs in the consortium.</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No funds made available under this Act shall be used to require any secondary student to choose or pursue a specific career path or major.</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No funds made available under this Act shall be used to mandate that an individual participation in a career and technical education program, including a career and technical program that requires the attainment of a federally funded skill level, standard or certificate of mastery.</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No funds provided under this Act shall be used for the purpose of directly providing incentives or inducements to an employer to relocate a business enterprise from one state to another state if such relocation will result in a reduction in the number of jobs available in the state where the business enterprise is located before such incentives or inducements are offered.</w:t>
      </w:r>
    </w:p>
    <w:p w:rsidR="000A3C9D" w:rsidRPr="00D6689D" w:rsidRDefault="000A3C9D" w:rsidP="000A3C9D">
      <w:pPr>
        <w:pStyle w:val="ListParagraph"/>
        <w:numPr>
          <w:ilvl w:val="0"/>
          <w:numId w:val="8"/>
        </w:numPr>
        <w:spacing w:after="0"/>
        <w:rPr>
          <w:rFonts w:cstheme="minorHAnsi"/>
          <w:sz w:val="20"/>
          <w:szCs w:val="20"/>
        </w:rPr>
      </w:pPr>
      <w:r w:rsidRPr="00D6689D">
        <w:rPr>
          <w:rFonts w:cstheme="minorHAnsi"/>
          <w:sz w:val="20"/>
          <w:szCs w:val="20"/>
        </w:rPr>
        <w:t>No funds received under this Act may be used to provide career and technical education programs to students prior to the seventh grade, except that such students may use equipment and facilities purchased with funds under this Act.</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The portion of any student financial assistance received under this Act that is made available for attendance costs described in subsection (section 325(b)) shall not be considered as income or resources in determining eligibility for assistance under any other program funded in whole or in part with Federal funds. (Sec 325(a))</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Funds made available under this Act may be used to pay for the costs of career and technical education services required in an individualized education plan developed pursuant to section 614(d) of the Individuals with Disabilities Education Act (IDEA) and services necessary to the requirements of section 504 of the Rehabilitation Act of 1973 with respect to ensuring equal access to career and technical education. (Sec. 325(c))</w:t>
      </w:r>
    </w:p>
    <w:p w:rsidR="000A3C9D" w:rsidRDefault="000A3C9D" w:rsidP="000A3C9D">
      <w:pPr>
        <w:pStyle w:val="ListParagraph"/>
        <w:numPr>
          <w:ilvl w:val="0"/>
          <w:numId w:val="8"/>
        </w:numPr>
        <w:spacing w:after="0"/>
        <w:rPr>
          <w:rFonts w:cstheme="minorHAnsi"/>
          <w:sz w:val="20"/>
          <w:szCs w:val="20"/>
        </w:rPr>
      </w:pPr>
      <w:r w:rsidRPr="00D6689D">
        <w:rPr>
          <w:rFonts w:cstheme="minorHAnsi"/>
          <w:sz w:val="20"/>
          <w:szCs w:val="20"/>
        </w:rPr>
        <w:t xml:space="preserve">All programs, services and activities covered by this application will be conducted in accordance with </w:t>
      </w:r>
      <w:smartTag w:uri="urn:schemas-microsoft-com:office:smarttags" w:element="PersonName">
        <w:r w:rsidRPr="00D6689D">
          <w:rPr>
            <w:rFonts w:cstheme="minorHAnsi"/>
            <w:sz w:val="20"/>
            <w:szCs w:val="20"/>
          </w:rPr>
          <w:t>Title</w:t>
        </w:r>
      </w:smartTag>
      <w:r w:rsidRPr="00D6689D">
        <w:rPr>
          <w:rFonts w:cstheme="minorHAnsi"/>
          <w:sz w:val="20"/>
          <w:szCs w:val="20"/>
        </w:rPr>
        <w:t xml:space="preserve"> VI of the Civil Rights Act of 1964, </w:t>
      </w:r>
      <w:smartTag w:uri="urn:schemas-microsoft-com:office:smarttags" w:element="PersonName">
        <w:r w:rsidRPr="00D6689D">
          <w:rPr>
            <w:rFonts w:cstheme="minorHAnsi"/>
            <w:sz w:val="20"/>
            <w:szCs w:val="20"/>
          </w:rPr>
          <w:t>Title</w:t>
        </w:r>
      </w:smartTag>
      <w:r w:rsidRPr="00D6689D">
        <w:rPr>
          <w:rFonts w:cstheme="minorHAnsi"/>
          <w:sz w:val="20"/>
          <w:szCs w:val="20"/>
        </w:rPr>
        <w:t xml:space="preserve"> IX of the Education Amendments of 1972, the Age Discrimination Act of 1975, and the U. S. Office for Civil Rights’ “Vocational Education Programs Guidelines for Eliminating Discrimination and Denial of Services on the Basis of Race, Color, National Origin, Sex and Handicap.”</w:t>
      </w:r>
    </w:p>
    <w:p w:rsidR="000A3C9D" w:rsidRPr="00D6689D" w:rsidRDefault="000A3C9D" w:rsidP="000A3C9D">
      <w:pPr>
        <w:pStyle w:val="ListParagraph"/>
        <w:numPr>
          <w:ilvl w:val="0"/>
          <w:numId w:val="8"/>
        </w:numPr>
        <w:spacing w:after="0"/>
        <w:rPr>
          <w:sz w:val="20"/>
          <w:szCs w:val="20"/>
        </w:rPr>
      </w:pPr>
      <w:r w:rsidRPr="00D6689D">
        <w:rPr>
          <w:rFonts w:cstheme="minorHAnsi"/>
          <w:sz w:val="20"/>
          <w:szCs w:val="20"/>
        </w:rPr>
        <w:t xml:space="preserve">Statistical data (Student Enrollment, </w:t>
      </w:r>
      <w:r>
        <w:rPr>
          <w:rFonts w:cstheme="minorHAnsi"/>
          <w:sz w:val="20"/>
          <w:szCs w:val="20"/>
        </w:rPr>
        <w:t xml:space="preserve">Concentrator </w:t>
      </w:r>
      <w:r w:rsidRPr="00D6689D">
        <w:rPr>
          <w:rFonts w:cstheme="minorHAnsi"/>
          <w:sz w:val="20"/>
          <w:szCs w:val="20"/>
        </w:rPr>
        <w:t xml:space="preserve">Data, Standards and Measures) and financial and descriptive reports required by </w:t>
      </w:r>
      <w:r>
        <w:rPr>
          <w:rFonts w:cstheme="minorHAnsi"/>
          <w:sz w:val="20"/>
          <w:szCs w:val="20"/>
        </w:rPr>
        <w:t xml:space="preserve">the Division of Career &amp; Technical Education (DCTE) </w:t>
      </w:r>
      <w:r w:rsidRPr="00D6689D">
        <w:rPr>
          <w:rFonts w:cstheme="minorHAnsi"/>
          <w:sz w:val="20"/>
          <w:szCs w:val="20"/>
        </w:rPr>
        <w:t>will be submitted on time.</w:t>
      </w:r>
    </w:p>
    <w:p w:rsidR="000A3C9D" w:rsidRPr="00151393" w:rsidRDefault="000A3C9D" w:rsidP="000A3C9D">
      <w:pPr>
        <w:pStyle w:val="ListParagraph"/>
        <w:numPr>
          <w:ilvl w:val="0"/>
          <w:numId w:val="8"/>
        </w:numPr>
        <w:spacing w:after="0"/>
        <w:rPr>
          <w:sz w:val="20"/>
          <w:szCs w:val="20"/>
        </w:rPr>
      </w:pPr>
      <w:r w:rsidRPr="00151393">
        <w:rPr>
          <w:sz w:val="20"/>
          <w:szCs w:val="20"/>
        </w:rPr>
        <w:t>When planning expenditure of Perkins funds, eligible recipients must describe how the requests are related to Perkins standards and measures outcomes, program improvement process (PIP) goals, program standards/competencies, and measurable student outcomes.</w:t>
      </w:r>
    </w:p>
    <w:p w:rsidR="000A3C9D" w:rsidRPr="007D1B93" w:rsidRDefault="000A3C9D" w:rsidP="000A3C9D">
      <w:pPr>
        <w:spacing w:after="0"/>
        <w:rPr>
          <w:sz w:val="20"/>
          <w:szCs w:val="20"/>
        </w:rPr>
      </w:pPr>
    </w:p>
    <w:p w:rsidR="00F35060" w:rsidRDefault="00F35060">
      <w:pPr>
        <w:rPr>
          <w:b/>
          <w:szCs w:val="28"/>
        </w:rPr>
      </w:pPr>
      <w:r>
        <w:rPr>
          <w:b/>
          <w:szCs w:val="28"/>
        </w:rPr>
        <w:br w:type="page"/>
      </w:r>
    </w:p>
    <w:p w:rsidR="000A3C9D" w:rsidRPr="00F35060" w:rsidRDefault="000A3C9D" w:rsidP="00F35060">
      <w:pPr>
        <w:spacing w:after="0"/>
        <w:ind w:left="-720"/>
        <w:rPr>
          <w:b/>
          <w:szCs w:val="28"/>
        </w:rPr>
      </w:pPr>
      <w:r w:rsidRPr="00F35060">
        <w:rPr>
          <w:b/>
          <w:szCs w:val="28"/>
        </w:rPr>
        <w:t>Certifications regarding lobbying; debarment, suspension and other responsibility matters; and drug-free workplace requirements</w:t>
      </w:r>
    </w:p>
    <w:p w:rsidR="000A3C9D" w:rsidRPr="007D1B93" w:rsidRDefault="000A3C9D" w:rsidP="000A3C9D">
      <w:pPr>
        <w:spacing w:after="0"/>
        <w:rPr>
          <w:sz w:val="20"/>
          <w:szCs w:val="20"/>
        </w:rPr>
      </w:pPr>
      <w:r w:rsidRPr="007D1B93">
        <w:rPr>
          <w:sz w:val="20"/>
          <w:szCs w:val="20"/>
        </w:rPr>
        <w:t>Applicants should refer to the regulations cited below to determine the certification to which they are required to attest.</w:t>
      </w:r>
      <w:r>
        <w:rPr>
          <w:sz w:val="20"/>
          <w:szCs w:val="20"/>
        </w:rPr>
        <w:t xml:space="preserve"> </w:t>
      </w:r>
      <w:r w:rsidRPr="007D1B93">
        <w:rPr>
          <w:sz w:val="20"/>
          <w:szCs w:val="20"/>
        </w:rPr>
        <w:t>Applicants should also review the instructions for certification included in the regulations before completing this form.</w:t>
      </w:r>
      <w:r>
        <w:rPr>
          <w:sz w:val="20"/>
          <w:szCs w:val="20"/>
        </w:rPr>
        <w:t xml:space="preserve"> </w:t>
      </w:r>
      <w:r w:rsidRPr="007D1B93">
        <w:rPr>
          <w:sz w:val="20"/>
          <w:szCs w:val="20"/>
        </w:rPr>
        <w:t xml:space="preserve">Signature of this form provides for compliance with certification requirements under 34 </w:t>
      </w:r>
      <w:smartTag w:uri="urn:schemas-microsoft-com:office:smarttags" w:element="stockticker">
        <w:r w:rsidRPr="007D1B93">
          <w:rPr>
            <w:sz w:val="20"/>
            <w:szCs w:val="20"/>
          </w:rPr>
          <w:t>CFR</w:t>
        </w:r>
      </w:smartTag>
      <w:r w:rsidRPr="007D1B93">
        <w:rPr>
          <w:sz w:val="20"/>
          <w:szCs w:val="20"/>
        </w:rPr>
        <w:t xml:space="preserve"> Part 82, "New Restrictions on Lobbying," and 34 </w:t>
      </w:r>
      <w:smartTag w:uri="urn:schemas-microsoft-com:office:smarttags" w:element="stockticker">
        <w:r w:rsidRPr="007D1B93">
          <w:rPr>
            <w:sz w:val="20"/>
            <w:szCs w:val="20"/>
          </w:rPr>
          <w:t>CFR</w:t>
        </w:r>
      </w:smartTag>
      <w:r w:rsidRPr="007D1B93">
        <w:rPr>
          <w:sz w:val="20"/>
          <w:szCs w:val="20"/>
        </w:rPr>
        <w:t xml:space="preserve"> Part 85, "Government-wide Debarment and Suspension (Non</w:t>
      </w:r>
      <w:r>
        <w:rPr>
          <w:sz w:val="20"/>
          <w:szCs w:val="20"/>
        </w:rPr>
        <w:t>-</w:t>
      </w:r>
      <w:r w:rsidRPr="007D1B93">
        <w:rPr>
          <w:sz w:val="20"/>
          <w:szCs w:val="20"/>
        </w:rPr>
        <w:t>procurement) and Government-wide Requirements for Drug-Free Workplace (Grants)."</w:t>
      </w:r>
      <w:r>
        <w:rPr>
          <w:sz w:val="20"/>
          <w:szCs w:val="20"/>
        </w:rPr>
        <w:t xml:space="preserve"> </w:t>
      </w:r>
      <w:r w:rsidRPr="007D1B93">
        <w:rPr>
          <w:sz w:val="20"/>
          <w:szCs w:val="20"/>
        </w:rPr>
        <w:t>The certifications shall be treated as a material representation of fact upon which reliance will be placed when the Department of Education determines to award the covered transaction, grant, or cooperative agreement.</w:t>
      </w:r>
    </w:p>
    <w:p w:rsidR="000A3C9D" w:rsidRPr="007D1B93" w:rsidRDefault="000A3C9D" w:rsidP="000A3C9D">
      <w:pPr>
        <w:spacing w:after="0"/>
        <w:rPr>
          <w:sz w:val="20"/>
          <w:szCs w:val="20"/>
        </w:rPr>
      </w:pPr>
    </w:p>
    <w:p w:rsidR="000A3C9D" w:rsidRPr="00F35060" w:rsidRDefault="000A3C9D" w:rsidP="000A3C9D">
      <w:pPr>
        <w:pStyle w:val="Subtitle"/>
        <w:spacing w:after="0"/>
        <w:rPr>
          <w:rFonts w:asciiTheme="minorHAnsi" w:hAnsiTheme="minorHAnsi"/>
          <w:i w:val="0"/>
          <w:color w:val="auto"/>
          <w:sz w:val="22"/>
        </w:rPr>
      </w:pPr>
      <w:r w:rsidRPr="00F35060">
        <w:rPr>
          <w:rFonts w:asciiTheme="minorHAnsi" w:hAnsiTheme="minorHAnsi"/>
          <w:i w:val="0"/>
          <w:color w:val="auto"/>
          <w:sz w:val="22"/>
        </w:rPr>
        <w:t>1. LOBBYING</w:t>
      </w:r>
    </w:p>
    <w:p w:rsidR="000A3C9D" w:rsidRPr="007D1B93" w:rsidRDefault="000A3C9D" w:rsidP="000A3C9D">
      <w:pPr>
        <w:spacing w:after="0"/>
        <w:rPr>
          <w:sz w:val="20"/>
          <w:szCs w:val="20"/>
        </w:rPr>
      </w:pPr>
      <w:r w:rsidRPr="007D1B93">
        <w:rPr>
          <w:sz w:val="20"/>
          <w:szCs w:val="20"/>
        </w:rPr>
        <w:t xml:space="preserve">As required by Section 1352, </w:t>
      </w:r>
      <w:smartTag w:uri="urn:schemas-microsoft-com:office:smarttags" w:element="PersonName">
        <w:r w:rsidRPr="007D1B93">
          <w:rPr>
            <w:sz w:val="20"/>
            <w:szCs w:val="20"/>
          </w:rPr>
          <w:t>Title</w:t>
        </w:r>
      </w:smartTag>
      <w:r w:rsidRPr="007D1B93">
        <w:rPr>
          <w:sz w:val="20"/>
          <w:szCs w:val="20"/>
        </w:rPr>
        <w:t xml:space="preserve"> 31 of the U.S. Code, and implemented at 34 </w:t>
      </w:r>
      <w:smartTag w:uri="urn:schemas-microsoft-com:office:smarttags" w:element="stockticker">
        <w:r w:rsidRPr="007D1B93">
          <w:rPr>
            <w:sz w:val="20"/>
            <w:szCs w:val="20"/>
          </w:rPr>
          <w:t>CFR</w:t>
        </w:r>
      </w:smartTag>
      <w:r w:rsidRPr="007D1B93">
        <w:rPr>
          <w:sz w:val="20"/>
          <w:szCs w:val="20"/>
        </w:rPr>
        <w:t xml:space="preserve"> Part 82, for persons entering into a grant or cooperative agreement over $100,000, as defined at 34 </w:t>
      </w:r>
      <w:smartTag w:uri="urn:schemas-microsoft-com:office:smarttags" w:element="stockticker">
        <w:r w:rsidRPr="007D1B93">
          <w:rPr>
            <w:sz w:val="20"/>
            <w:szCs w:val="20"/>
          </w:rPr>
          <w:t>CFR</w:t>
        </w:r>
      </w:smartTag>
      <w:r w:rsidRPr="007D1B93">
        <w:rPr>
          <w:sz w:val="20"/>
          <w:szCs w:val="20"/>
        </w:rPr>
        <w:t xml:space="preserve"> Part 82, Sections 82.105 and 82.110, the applicant certifies that:</w:t>
      </w:r>
    </w:p>
    <w:p w:rsidR="000A3C9D" w:rsidRPr="007D1B93" w:rsidRDefault="000A3C9D" w:rsidP="000A3C9D">
      <w:pPr>
        <w:spacing w:after="0"/>
        <w:rPr>
          <w:sz w:val="20"/>
          <w:szCs w:val="20"/>
        </w:rPr>
      </w:pPr>
    </w:p>
    <w:p w:rsidR="000A3C9D" w:rsidRPr="007D1B93" w:rsidRDefault="000A3C9D" w:rsidP="000A3C9D">
      <w:pPr>
        <w:spacing w:after="0"/>
        <w:ind w:left="720"/>
        <w:rPr>
          <w:sz w:val="20"/>
          <w:szCs w:val="20"/>
        </w:rPr>
      </w:pPr>
      <w:r w:rsidRPr="007D1B93">
        <w:rPr>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 xml:space="preserve">(b)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w:t>
      </w:r>
      <w:smartTag w:uri="urn:schemas-microsoft-com:office:smarttags" w:element="stockticker">
        <w:r w:rsidRPr="007D1B93">
          <w:rPr>
            <w:sz w:val="20"/>
            <w:szCs w:val="20"/>
          </w:rPr>
          <w:t>LLL</w:t>
        </w:r>
      </w:smartTag>
      <w:r w:rsidRPr="007D1B93">
        <w:rPr>
          <w:sz w:val="20"/>
          <w:szCs w:val="20"/>
        </w:rPr>
        <w:t>, "Disclosure Form to Report Lobbying," in accordance with its instructions;</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 xml:space="preserve">(c) The undersigned shall require that the language of this certification be included in the award documents for all </w:t>
      </w:r>
      <w:proofErr w:type="spellStart"/>
      <w:r w:rsidRPr="007D1B93">
        <w:rPr>
          <w:sz w:val="20"/>
          <w:szCs w:val="20"/>
        </w:rPr>
        <w:t>subawards</w:t>
      </w:r>
      <w:proofErr w:type="spellEnd"/>
      <w:r w:rsidRPr="007D1B93">
        <w:rPr>
          <w:sz w:val="20"/>
          <w:szCs w:val="20"/>
        </w:rPr>
        <w:t xml:space="preserve"> at all tiers (including </w:t>
      </w:r>
      <w:proofErr w:type="spellStart"/>
      <w:r w:rsidRPr="007D1B93">
        <w:rPr>
          <w:sz w:val="20"/>
          <w:szCs w:val="20"/>
        </w:rPr>
        <w:t>subgrants</w:t>
      </w:r>
      <w:proofErr w:type="spellEnd"/>
      <w:r w:rsidRPr="007D1B93">
        <w:rPr>
          <w:sz w:val="20"/>
          <w:szCs w:val="20"/>
        </w:rPr>
        <w:t xml:space="preserve">, contracts under grants and cooperative agreements, and subcontracts) and that all </w:t>
      </w:r>
      <w:proofErr w:type="spellStart"/>
      <w:r w:rsidRPr="007D1B93">
        <w:rPr>
          <w:sz w:val="20"/>
          <w:szCs w:val="20"/>
        </w:rPr>
        <w:t>subrecipients</w:t>
      </w:r>
      <w:proofErr w:type="spellEnd"/>
      <w:r w:rsidRPr="007D1B93">
        <w:rPr>
          <w:sz w:val="20"/>
          <w:szCs w:val="20"/>
        </w:rPr>
        <w:t xml:space="preserve"> shall certify and disclose accordingly.</w:t>
      </w:r>
    </w:p>
    <w:p w:rsidR="000A3C9D" w:rsidRPr="007D1B93" w:rsidRDefault="000A3C9D" w:rsidP="000A3C9D">
      <w:pPr>
        <w:spacing w:after="0"/>
        <w:rPr>
          <w:sz w:val="20"/>
          <w:szCs w:val="20"/>
        </w:rPr>
      </w:pPr>
    </w:p>
    <w:p w:rsidR="000A3C9D" w:rsidRPr="00F35060" w:rsidRDefault="000A3C9D" w:rsidP="000A3C9D">
      <w:pPr>
        <w:pStyle w:val="Subtitle"/>
        <w:spacing w:after="0"/>
        <w:rPr>
          <w:rFonts w:asciiTheme="minorHAnsi" w:hAnsiTheme="minorHAnsi"/>
          <w:i w:val="0"/>
          <w:color w:val="auto"/>
          <w:sz w:val="22"/>
        </w:rPr>
      </w:pPr>
      <w:r w:rsidRPr="00F35060">
        <w:rPr>
          <w:rFonts w:asciiTheme="minorHAnsi" w:hAnsiTheme="minorHAnsi"/>
          <w:i w:val="0"/>
          <w:color w:val="auto"/>
          <w:sz w:val="22"/>
        </w:rPr>
        <w:t xml:space="preserve">2. DEBARMENT, SUSPENSION, </w:t>
      </w:r>
      <w:smartTag w:uri="urn:schemas-microsoft-com:office:smarttags" w:element="stockticker">
        <w:r w:rsidRPr="00F35060">
          <w:rPr>
            <w:rFonts w:asciiTheme="minorHAnsi" w:hAnsiTheme="minorHAnsi"/>
            <w:i w:val="0"/>
            <w:color w:val="auto"/>
            <w:sz w:val="22"/>
          </w:rPr>
          <w:t>AND</w:t>
        </w:r>
      </w:smartTag>
      <w:r w:rsidRPr="00F35060">
        <w:rPr>
          <w:rFonts w:asciiTheme="minorHAnsi" w:hAnsiTheme="minorHAnsi"/>
          <w:i w:val="0"/>
          <w:color w:val="auto"/>
          <w:sz w:val="22"/>
        </w:rPr>
        <w:t xml:space="preserve"> OTHER RESPONSIBILITY MATTERS</w:t>
      </w:r>
    </w:p>
    <w:p w:rsidR="000A3C9D" w:rsidRPr="007D1B93" w:rsidRDefault="000A3C9D" w:rsidP="000A3C9D">
      <w:pPr>
        <w:spacing w:after="0"/>
        <w:rPr>
          <w:sz w:val="20"/>
          <w:szCs w:val="20"/>
        </w:rPr>
      </w:pPr>
      <w:r w:rsidRPr="007D1B93">
        <w:rPr>
          <w:sz w:val="20"/>
          <w:szCs w:val="20"/>
        </w:rPr>
        <w:t xml:space="preserve">As required by Executive Order 12549, Debarment and Suspension, and implemented at 34 </w:t>
      </w:r>
      <w:smartTag w:uri="urn:schemas-microsoft-com:office:smarttags" w:element="stockticker">
        <w:r w:rsidRPr="007D1B93">
          <w:rPr>
            <w:sz w:val="20"/>
            <w:szCs w:val="20"/>
          </w:rPr>
          <w:t>CFR</w:t>
        </w:r>
      </w:smartTag>
      <w:r w:rsidRPr="007D1B93">
        <w:rPr>
          <w:sz w:val="20"/>
          <w:szCs w:val="20"/>
        </w:rPr>
        <w:t xml:space="preserve"> Part 85, for prospective participants in primary covered transactions, as defined at 34 </w:t>
      </w:r>
      <w:smartTag w:uri="urn:schemas-microsoft-com:office:smarttags" w:element="stockticker">
        <w:r w:rsidRPr="007D1B93">
          <w:rPr>
            <w:sz w:val="20"/>
            <w:szCs w:val="20"/>
          </w:rPr>
          <w:t>CFR</w:t>
        </w:r>
      </w:smartTag>
      <w:r w:rsidRPr="007D1B93">
        <w:rPr>
          <w:sz w:val="20"/>
          <w:szCs w:val="20"/>
        </w:rPr>
        <w:t xml:space="preserve"> Part </w:t>
      </w:r>
      <w:r w:rsidR="00F35060">
        <w:rPr>
          <w:sz w:val="20"/>
          <w:szCs w:val="20"/>
        </w:rPr>
        <w:t>85, Sections 85.105 and 85.110-</w:t>
      </w:r>
    </w:p>
    <w:p w:rsidR="000A3C9D" w:rsidRPr="007D1B93" w:rsidRDefault="000A3C9D" w:rsidP="000A3C9D">
      <w:pPr>
        <w:spacing w:after="0"/>
        <w:rPr>
          <w:sz w:val="20"/>
          <w:szCs w:val="20"/>
        </w:rPr>
      </w:pPr>
      <w:r w:rsidRPr="007D1B93">
        <w:rPr>
          <w:sz w:val="20"/>
          <w:szCs w:val="20"/>
        </w:rPr>
        <w:t>A.</w:t>
      </w:r>
      <w:r>
        <w:rPr>
          <w:sz w:val="20"/>
          <w:szCs w:val="20"/>
        </w:rPr>
        <w:t xml:space="preserve"> </w:t>
      </w:r>
      <w:r w:rsidRPr="007D1B93">
        <w:rPr>
          <w:sz w:val="20"/>
          <w:szCs w:val="20"/>
        </w:rPr>
        <w:t>The applicant certifies that it and its principals:</w:t>
      </w:r>
    </w:p>
    <w:p w:rsidR="000A3C9D" w:rsidRPr="007D1B93" w:rsidRDefault="000A3C9D" w:rsidP="000A3C9D">
      <w:pPr>
        <w:spacing w:after="0"/>
        <w:ind w:left="720"/>
        <w:rPr>
          <w:sz w:val="20"/>
          <w:szCs w:val="20"/>
        </w:rPr>
      </w:pPr>
      <w:r w:rsidRPr="007D1B93">
        <w:rPr>
          <w:sz w:val="20"/>
          <w:szCs w:val="20"/>
        </w:rPr>
        <w:t xml:space="preserve">(a) Are not presently debarred, suspended, proposed for debarment, declared ineligible, or voluntarily excluded from covered transactions by any Federal department or agency; </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(b)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 xml:space="preserve">(c) Are not presently indicted for or otherwise criminally or civilly charged by a governmental entity (Federal, State, or local) with commission of any of the offenses enumerated in paragraph (2)(b) of this certification; and </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 xml:space="preserve">(d) Have not within a three-year period preceding this application had one or more public transaction (Federal, State, or local) terminated for cause or default; and </w:t>
      </w:r>
    </w:p>
    <w:p w:rsidR="000A3C9D" w:rsidRPr="007D1B93" w:rsidRDefault="000A3C9D" w:rsidP="000A3C9D">
      <w:pPr>
        <w:spacing w:after="0"/>
        <w:rPr>
          <w:sz w:val="20"/>
          <w:szCs w:val="20"/>
        </w:rPr>
      </w:pPr>
      <w:r w:rsidRPr="007D1B93">
        <w:rPr>
          <w:sz w:val="20"/>
          <w:szCs w:val="20"/>
        </w:rPr>
        <w:tab/>
      </w:r>
      <w:r w:rsidRPr="007D1B93">
        <w:rPr>
          <w:sz w:val="20"/>
          <w:szCs w:val="20"/>
        </w:rPr>
        <w:tab/>
      </w:r>
      <w:r w:rsidRPr="007D1B93">
        <w:rPr>
          <w:sz w:val="20"/>
          <w:szCs w:val="20"/>
        </w:rPr>
        <w:tab/>
      </w:r>
      <w:r w:rsidRPr="007D1B93">
        <w:rPr>
          <w:sz w:val="20"/>
          <w:szCs w:val="20"/>
        </w:rPr>
        <w:tab/>
      </w:r>
      <w:r w:rsidRPr="007D1B93">
        <w:rPr>
          <w:sz w:val="20"/>
          <w:szCs w:val="20"/>
        </w:rPr>
        <w:tab/>
      </w:r>
      <w:r w:rsidRPr="007D1B93">
        <w:rPr>
          <w:sz w:val="20"/>
          <w:szCs w:val="20"/>
        </w:rPr>
        <w:tab/>
      </w:r>
      <w:r w:rsidRPr="007D1B93">
        <w:rPr>
          <w:sz w:val="20"/>
          <w:szCs w:val="20"/>
        </w:rPr>
        <w:tab/>
      </w:r>
      <w:r w:rsidRPr="007D1B93">
        <w:rPr>
          <w:sz w:val="20"/>
          <w:szCs w:val="20"/>
        </w:rPr>
        <w:tab/>
      </w:r>
    </w:p>
    <w:p w:rsidR="000A3C9D" w:rsidRPr="007D1B93" w:rsidRDefault="000A3C9D" w:rsidP="000A3C9D">
      <w:pPr>
        <w:spacing w:after="0"/>
        <w:rPr>
          <w:sz w:val="20"/>
          <w:szCs w:val="20"/>
        </w:rPr>
      </w:pPr>
      <w:r w:rsidRPr="007D1B93">
        <w:rPr>
          <w:sz w:val="20"/>
          <w:szCs w:val="20"/>
        </w:rPr>
        <w:t>B.</w:t>
      </w:r>
      <w:r>
        <w:rPr>
          <w:sz w:val="20"/>
          <w:szCs w:val="20"/>
        </w:rPr>
        <w:t xml:space="preserve"> </w:t>
      </w:r>
      <w:r w:rsidRPr="007D1B93">
        <w:rPr>
          <w:sz w:val="20"/>
          <w:szCs w:val="20"/>
        </w:rPr>
        <w:t>Where the applicant is unable to certify to any of the statements in this certification, he or she shall attach an explanation to this application.</w:t>
      </w:r>
    </w:p>
    <w:p w:rsidR="000A3C9D" w:rsidRPr="007D1B93" w:rsidRDefault="000A3C9D" w:rsidP="000A3C9D">
      <w:pPr>
        <w:spacing w:after="0"/>
        <w:rPr>
          <w:sz w:val="20"/>
          <w:szCs w:val="20"/>
        </w:rPr>
      </w:pPr>
    </w:p>
    <w:p w:rsidR="000A3C9D" w:rsidRPr="00F35060" w:rsidRDefault="000A3C9D" w:rsidP="000A3C9D">
      <w:pPr>
        <w:pStyle w:val="Subtitle"/>
        <w:spacing w:after="0"/>
        <w:rPr>
          <w:rFonts w:asciiTheme="minorHAnsi" w:hAnsiTheme="minorHAnsi"/>
          <w:i w:val="0"/>
          <w:color w:val="auto"/>
          <w:sz w:val="22"/>
        </w:rPr>
      </w:pPr>
      <w:r w:rsidRPr="00F35060">
        <w:rPr>
          <w:rFonts w:asciiTheme="minorHAnsi" w:hAnsiTheme="minorHAnsi"/>
          <w:i w:val="0"/>
          <w:color w:val="auto"/>
          <w:sz w:val="22"/>
        </w:rPr>
        <w:t>3. DRUG-</w:t>
      </w:r>
      <w:smartTag w:uri="urn:schemas-microsoft-com:office:smarttags" w:element="stockticker">
        <w:r w:rsidRPr="00F35060">
          <w:rPr>
            <w:rFonts w:asciiTheme="minorHAnsi" w:hAnsiTheme="minorHAnsi"/>
            <w:i w:val="0"/>
            <w:color w:val="auto"/>
            <w:sz w:val="22"/>
          </w:rPr>
          <w:t>FREE</w:t>
        </w:r>
      </w:smartTag>
      <w:r w:rsidRPr="00F35060">
        <w:rPr>
          <w:rFonts w:asciiTheme="minorHAnsi" w:hAnsiTheme="minorHAnsi"/>
          <w:i w:val="0"/>
          <w:color w:val="auto"/>
          <w:sz w:val="22"/>
        </w:rPr>
        <w:t xml:space="preserve"> WORKPLACE (GRANTEES OTHER THAN INDIVIDUALS)</w:t>
      </w:r>
    </w:p>
    <w:p w:rsidR="000A3C9D" w:rsidRPr="007D1B93" w:rsidRDefault="000A3C9D" w:rsidP="000A3C9D">
      <w:pPr>
        <w:spacing w:after="0"/>
        <w:rPr>
          <w:sz w:val="20"/>
          <w:szCs w:val="20"/>
        </w:rPr>
      </w:pPr>
      <w:r w:rsidRPr="007D1B93">
        <w:rPr>
          <w:sz w:val="20"/>
          <w:szCs w:val="20"/>
        </w:rPr>
        <w:t xml:space="preserve">As required by the Drug-Free Workplace Act of 1988, and implemented at 34 </w:t>
      </w:r>
      <w:smartTag w:uri="urn:schemas-microsoft-com:office:smarttags" w:element="stockticker">
        <w:r w:rsidRPr="007D1B93">
          <w:rPr>
            <w:sz w:val="20"/>
            <w:szCs w:val="20"/>
          </w:rPr>
          <w:t>CFR</w:t>
        </w:r>
      </w:smartTag>
      <w:r w:rsidRPr="007D1B93">
        <w:rPr>
          <w:sz w:val="20"/>
          <w:szCs w:val="20"/>
        </w:rPr>
        <w:t xml:space="preserve"> Part 85, Subpart F, for grantees, as defined at 34 </w:t>
      </w:r>
      <w:smartTag w:uri="urn:schemas-microsoft-com:office:smarttags" w:element="stockticker">
        <w:r w:rsidRPr="007D1B93">
          <w:rPr>
            <w:sz w:val="20"/>
            <w:szCs w:val="20"/>
          </w:rPr>
          <w:t>CFR</w:t>
        </w:r>
      </w:smartTag>
      <w:r w:rsidRPr="007D1B93">
        <w:rPr>
          <w:sz w:val="20"/>
          <w:szCs w:val="20"/>
        </w:rPr>
        <w:t xml:space="preserve"> Part 85, Sections 85.605 and 85.610 - </w:t>
      </w:r>
    </w:p>
    <w:p w:rsidR="000A3C9D" w:rsidRPr="007D1B93" w:rsidRDefault="000A3C9D" w:rsidP="000A3C9D">
      <w:pPr>
        <w:spacing w:after="0"/>
        <w:rPr>
          <w:sz w:val="20"/>
          <w:szCs w:val="20"/>
        </w:rPr>
      </w:pPr>
      <w:r w:rsidRPr="007D1B93">
        <w:rPr>
          <w:sz w:val="20"/>
          <w:szCs w:val="20"/>
        </w:rPr>
        <w:t>A.</w:t>
      </w:r>
      <w:r>
        <w:rPr>
          <w:sz w:val="20"/>
          <w:szCs w:val="20"/>
        </w:rPr>
        <w:t xml:space="preserve"> </w:t>
      </w:r>
      <w:r w:rsidRPr="007D1B93">
        <w:rPr>
          <w:sz w:val="20"/>
          <w:szCs w:val="20"/>
        </w:rPr>
        <w:t>The applicant certifies that it will or will continue to provide a drug-free workplace by:</w:t>
      </w:r>
    </w:p>
    <w:p w:rsidR="000A3C9D" w:rsidRPr="007D1B93" w:rsidRDefault="000A3C9D" w:rsidP="000A3C9D">
      <w:pPr>
        <w:spacing w:after="0"/>
        <w:ind w:left="720"/>
        <w:rPr>
          <w:sz w:val="20"/>
          <w:szCs w:val="20"/>
        </w:rPr>
      </w:pPr>
      <w:r w:rsidRPr="007D1B93">
        <w:rPr>
          <w:sz w:val="20"/>
          <w:szCs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rsidR="000A3C9D" w:rsidRPr="007D1B93" w:rsidRDefault="000A3C9D" w:rsidP="000A3C9D">
      <w:pPr>
        <w:spacing w:after="0"/>
        <w:ind w:left="720"/>
        <w:rPr>
          <w:sz w:val="20"/>
          <w:szCs w:val="20"/>
        </w:rPr>
      </w:pPr>
    </w:p>
    <w:p w:rsidR="000A3C9D" w:rsidRPr="007D1B93" w:rsidRDefault="000A3C9D" w:rsidP="000A3C9D">
      <w:pPr>
        <w:spacing w:after="0"/>
        <w:ind w:left="720"/>
        <w:rPr>
          <w:sz w:val="20"/>
          <w:szCs w:val="20"/>
        </w:rPr>
      </w:pPr>
      <w:r w:rsidRPr="007D1B93">
        <w:rPr>
          <w:sz w:val="20"/>
          <w:szCs w:val="20"/>
        </w:rPr>
        <w:t>(b) Establishing an on-going drug-free awareness program to inform employees about:</w:t>
      </w:r>
    </w:p>
    <w:p w:rsidR="000A3C9D" w:rsidRPr="007D1B93" w:rsidRDefault="000A3C9D" w:rsidP="000A3C9D">
      <w:pPr>
        <w:spacing w:after="0"/>
        <w:ind w:left="1440"/>
        <w:rPr>
          <w:sz w:val="20"/>
          <w:szCs w:val="20"/>
        </w:rPr>
      </w:pPr>
      <w:r w:rsidRPr="007D1B93">
        <w:rPr>
          <w:sz w:val="20"/>
          <w:szCs w:val="20"/>
        </w:rPr>
        <w:t>(1) The dangers of drug abuse in the workplace;</w:t>
      </w:r>
    </w:p>
    <w:p w:rsidR="000A3C9D" w:rsidRPr="007D1B93" w:rsidRDefault="000A3C9D" w:rsidP="000A3C9D">
      <w:pPr>
        <w:spacing w:after="0"/>
        <w:ind w:left="1440"/>
        <w:rPr>
          <w:sz w:val="20"/>
          <w:szCs w:val="20"/>
        </w:rPr>
      </w:pPr>
    </w:p>
    <w:p w:rsidR="000A3C9D" w:rsidRPr="007D1B93" w:rsidRDefault="000A3C9D" w:rsidP="000A3C9D">
      <w:pPr>
        <w:spacing w:after="0"/>
        <w:ind w:left="1440"/>
        <w:rPr>
          <w:sz w:val="20"/>
          <w:szCs w:val="20"/>
        </w:rPr>
      </w:pPr>
      <w:r w:rsidRPr="007D1B93">
        <w:rPr>
          <w:sz w:val="20"/>
          <w:szCs w:val="20"/>
        </w:rPr>
        <w:t>(2) The grantee's policy of maintaining a drug-free workplace;</w:t>
      </w:r>
    </w:p>
    <w:p w:rsidR="000A3C9D" w:rsidRPr="007D1B93" w:rsidRDefault="000A3C9D" w:rsidP="000A3C9D">
      <w:pPr>
        <w:spacing w:after="0"/>
        <w:ind w:left="1440"/>
        <w:rPr>
          <w:sz w:val="20"/>
          <w:szCs w:val="20"/>
        </w:rPr>
      </w:pPr>
    </w:p>
    <w:p w:rsidR="000A3C9D" w:rsidRPr="007D1B93" w:rsidRDefault="000A3C9D" w:rsidP="000A3C9D">
      <w:pPr>
        <w:spacing w:after="0"/>
        <w:ind w:left="1440"/>
        <w:rPr>
          <w:sz w:val="20"/>
          <w:szCs w:val="20"/>
        </w:rPr>
      </w:pPr>
      <w:r w:rsidRPr="007D1B93">
        <w:rPr>
          <w:sz w:val="20"/>
          <w:szCs w:val="20"/>
        </w:rPr>
        <w:t>(3) Any available drug counseling, rehabilitation, and employee assistance programs; and</w:t>
      </w:r>
    </w:p>
    <w:p w:rsidR="000A3C9D" w:rsidRPr="007D1B93" w:rsidRDefault="000A3C9D" w:rsidP="000A3C9D">
      <w:pPr>
        <w:spacing w:after="0"/>
        <w:ind w:left="1440"/>
        <w:rPr>
          <w:sz w:val="20"/>
          <w:szCs w:val="20"/>
        </w:rPr>
      </w:pPr>
    </w:p>
    <w:p w:rsidR="000A3C9D" w:rsidRPr="007D1B93" w:rsidRDefault="000A3C9D" w:rsidP="000A3C9D">
      <w:pPr>
        <w:spacing w:after="0"/>
        <w:ind w:left="1440"/>
        <w:rPr>
          <w:sz w:val="20"/>
          <w:szCs w:val="20"/>
        </w:rPr>
      </w:pPr>
      <w:r w:rsidRPr="007D1B93">
        <w:rPr>
          <w:sz w:val="20"/>
          <w:szCs w:val="20"/>
        </w:rPr>
        <w:t>(4) The penalties that may be imposed upon employees for drug abuse violations occurring in the workplace;</w:t>
      </w:r>
    </w:p>
    <w:p w:rsidR="000A3C9D" w:rsidRPr="007D1B93" w:rsidRDefault="000A3C9D" w:rsidP="000A3C9D">
      <w:pPr>
        <w:spacing w:after="0"/>
        <w:ind w:left="720"/>
        <w:rPr>
          <w:sz w:val="20"/>
          <w:szCs w:val="20"/>
        </w:rPr>
      </w:pPr>
      <w:r w:rsidRPr="007D1B93">
        <w:rPr>
          <w:sz w:val="20"/>
          <w:szCs w:val="20"/>
        </w:rPr>
        <w:t>(c) Making it a requirement that each employee to be engaged in the performance of the grant be given a copy of the statement required by paragraph (a);</w:t>
      </w:r>
    </w:p>
    <w:p w:rsidR="000A3C9D" w:rsidRPr="007D1B93" w:rsidRDefault="000A3C9D" w:rsidP="000A3C9D">
      <w:pPr>
        <w:spacing w:after="0"/>
        <w:ind w:left="720"/>
        <w:rPr>
          <w:sz w:val="20"/>
          <w:szCs w:val="20"/>
        </w:rPr>
      </w:pPr>
      <w:r w:rsidRPr="007D1B93">
        <w:rPr>
          <w:sz w:val="20"/>
          <w:szCs w:val="20"/>
        </w:rPr>
        <w:t xml:space="preserve">(d) Notifying the employee in the statement required by paragraph (a) that, as a condition of employment under the grant, the employee will: </w:t>
      </w:r>
    </w:p>
    <w:p w:rsidR="000A3C9D" w:rsidRPr="007D1B93" w:rsidRDefault="000A3C9D" w:rsidP="000A3C9D">
      <w:pPr>
        <w:spacing w:after="0"/>
        <w:ind w:left="1440"/>
        <w:rPr>
          <w:sz w:val="20"/>
          <w:szCs w:val="20"/>
        </w:rPr>
      </w:pPr>
      <w:r w:rsidRPr="007D1B93">
        <w:rPr>
          <w:sz w:val="20"/>
          <w:szCs w:val="20"/>
        </w:rPr>
        <w:t xml:space="preserve">(1) Abide by the terms of the statement; and </w:t>
      </w:r>
    </w:p>
    <w:p w:rsidR="000A3C9D" w:rsidRPr="007D1B93" w:rsidRDefault="000A3C9D" w:rsidP="000A3C9D">
      <w:pPr>
        <w:spacing w:after="0"/>
        <w:ind w:left="1440"/>
        <w:rPr>
          <w:sz w:val="20"/>
          <w:szCs w:val="20"/>
        </w:rPr>
      </w:pPr>
      <w:r w:rsidRPr="007D1B93">
        <w:rPr>
          <w:sz w:val="20"/>
          <w:szCs w:val="20"/>
        </w:rPr>
        <w:t xml:space="preserve"> </w:t>
      </w:r>
    </w:p>
    <w:p w:rsidR="000A3C9D" w:rsidRPr="007D1B93" w:rsidRDefault="000A3C9D" w:rsidP="000A3C9D">
      <w:pPr>
        <w:spacing w:after="0"/>
        <w:ind w:left="1440"/>
        <w:rPr>
          <w:sz w:val="20"/>
          <w:szCs w:val="20"/>
        </w:rPr>
      </w:pPr>
      <w:r w:rsidRPr="007D1B93">
        <w:rPr>
          <w:sz w:val="20"/>
          <w:szCs w:val="20"/>
        </w:rPr>
        <w:t>(2) Notify the employer in writing of his or her conviction for a violation of a criminal drug statute occurring in the workplace no later than five calendar days after such conviction;</w:t>
      </w:r>
    </w:p>
    <w:p w:rsidR="000A3C9D" w:rsidRPr="007D1B93" w:rsidRDefault="000A3C9D" w:rsidP="000A3C9D">
      <w:pPr>
        <w:spacing w:after="0"/>
        <w:rPr>
          <w:sz w:val="20"/>
          <w:szCs w:val="20"/>
        </w:rPr>
      </w:pPr>
    </w:p>
    <w:p w:rsidR="000A3C9D" w:rsidRPr="007D1B93" w:rsidRDefault="000A3C9D" w:rsidP="000A3C9D">
      <w:pPr>
        <w:spacing w:after="0"/>
        <w:ind w:left="1440"/>
        <w:rPr>
          <w:sz w:val="20"/>
          <w:szCs w:val="20"/>
        </w:rPr>
      </w:pPr>
      <w:r w:rsidRPr="007D1B93">
        <w:rPr>
          <w:sz w:val="20"/>
          <w:szCs w:val="20"/>
        </w:rPr>
        <w:t>Notifying the agency, in writing, within 10 calendar days after receiving notice under subparagraph (d</w:t>
      </w:r>
      <w:proofErr w:type="gramStart"/>
      <w:r w:rsidRPr="007D1B93">
        <w:rPr>
          <w:sz w:val="20"/>
          <w:szCs w:val="20"/>
        </w:rPr>
        <w:t>)(</w:t>
      </w:r>
      <w:proofErr w:type="gramEnd"/>
      <w:r w:rsidRPr="007D1B93">
        <w:rPr>
          <w:sz w:val="20"/>
          <w:szCs w:val="20"/>
        </w:rPr>
        <w:t>2) from an employee or otherwise receiving actual notice of such conviction.</w:t>
      </w:r>
      <w:r>
        <w:rPr>
          <w:sz w:val="20"/>
          <w:szCs w:val="20"/>
        </w:rPr>
        <w:t xml:space="preserve"> </w:t>
      </w:r>
      <w:r w:rsidRPr="007D1B93">
        <w:rPr>
          <w:sz w:val="20"/>
          <w:szCs w:val="20"/>
        </w:rPr>
        <w:t xml:space="preserve">Employers of convicted employees must provide notice, including position title, to: Director, Grants Policy and Oversight Staff, U.S. Department of Education, </w:t>
      </w:r>
      <w:smartTag w:uri="urn:schemas-microsoft-com:office:smarttags" w:element="Street">
        <w:smartTag w:uri="urn:schemas-microsoft-com:office:smarttags" w:element="address">
          <w:r w:rsidRPr="007D1B93">
            <w:rPr>
              <w:sz w:val="20"/>
              <w:szCs w:val="20"/>
            </w:rPr>
            <w:t>400 Maryland Avenue, S.W.</w:t>
          </w:r>
        </w:smartTag>
      </w:smartTag>
      <w:r w:rsidRPr="007D1B93">
        <w:rPr>
          <w:sz w:val="20"/>
          <w:szCs w:val="20"/>
        </w:rPr>
        <w:t xml:space="preserve"> (Room 3652, GSA Regional Office Building No. 3), </w:t>
      </w:r>
      <w:smartTag w:uri="urn:schemas-microsoft-com:office:smarttags" w:element="place">
        <w:smartTag w:uri="urn:schemas-microsoft-com:office:smarttags" w:element="City">
          <w:r w:rsidRPr="007D1B93">
            <w:rPr>
              <w:sz w:val="20"/>
              <w:szCs w:val="20"/>
            </w:rPr>
            <w:t>Washington</w:t>
          </w:r>
        </w:smartTag>
        <w:r w:rsidRPr="007D1B93">
          <w:rPr>
            <w:sz w:val="20"/>
            <w:szCs w:val="20"/>
          </w:rPr>
          <w:t xml:space="preserve">, </w:t>
        </w:r>
        <w:smartTag w:uri="urn:schemas-microsoft-com:office:smarttags" w:element="State">
          <w:r w:rsidRPr="007D1B93">
            <w:rPr>
              <w:sz w:val="20"/>
              <w:szCs w:val="20"/>
            </w:rPr>
            <w:t>DC</w:t>
          </w:r>
        </w:smartTag>
        <w:r w:rsidRPr="007D1B93">
          <w:rPr>
            <w:sz w:val="20"/>
            <w:szCs w:val="20"/>
          </w:rPr>
          <w:t xml:space="preserve"> </w:t>
        </w:r>
        <w:smartTag w:uri="urn:schemas-microsoft-com:office:smarttags" w:element="PostalCode">
          <w:r w:rsidRPr="007D1B93">
            <w:rPr>
              <w:sz w:val="20"/>
              <w:szCs w:val="20"/>
            </w:rPr>
            <w:t>20202-4248</w:t>
          </w:r>
        </w:smartTag>
      </w:smartTag>
      <w:r w:rsidRPr="007D1B93">
        <w:rPr>
          <w:sz w:val="20"/>
          <w:szCs w:val="20"/>
        </w:rPr>
        <w:t>.</w:t>
      </w:r>
      <w:r>
        <w:rPr>
          <w:sz w:val="20"/>
          <w:szCs w:val="20"/>
        </w:rPr>
        <w:t xml:space="preserve"> </w:t>
      </w:r>
      <w:r w:rsidRPr="007D1B93">
        <w:rPr>
          <w:sz w:val="20"/>
          <w:szCs w:val="20"/>
        </w:rPr>
        <w:t>Notice shall include the identification number(s) of each affected grant;</w:t>
      </w:r>
    </w:p>
    <w:p w:rsidR="000A3C9D" w:rsidRPr="007D1B93" w:rsidRDefault="000A3C9D" w:rsidP="000A3C9D">
      <w:pPr>
        <w:spacing w:after="0"/>
        <w:rPr>
          <w:sz w:val="20"/>
          <w:szCs w:val="20"/>
        </w:rPr>
      </w:pPr>
    </w:p>
    <w:p w:rsidR="000A3C9D" w:rsidRPr="007D1B93" w:rsidRDefault="000A3C9D" w:rsidP="000A3C9D">
      <w:pPr>
        <w:spacing w:after="0"/>
        <w:ind w:left="720"/>
        <w:rPr>
          <w:sz w:val="20"/>
          <w:szCs w:val="20"/>
        </w:rPr>
      </w:pPr>
      <w:r w:rsidRPr="007D1B93">
        <w:rPr>
          <w:sz w:val="20"/>
          <w:szCs w:val="20"/>
        </w:rPr>
        <w:t>(f) Taking one of the following actions, within 30 calendar days of receiving notice under subparagraph (d)(2), with respect to any employee who is so convicted:</w:t>
      </w:r>
    </w:p>
    <w:p w:rsidR="000A3C9D" w:rsidRPr="007D1B93" w:rsidRDefault="000A3C9D" w:rsidP="000A3C9D">
      <w:pPr>
        <w:spacing w:after="0"/>
        <w:ind w:left="1440"/>
        <w:rPr>
          <w:sz w:val="20"/>
          <w:szCs w:val="20"/>
        </w:rPr>
      </w:pPr>
      <w:r w:rsidRPr="007D1B93">
        <w:rPr>
          <w:sz w:val="20"/>
          <w:szCs w:val="20"/>
        </w:rPr>
        <w:t>(1) Taking appropriate personnel action against such an employee, up to and including termination, consistent with the requirements of the Rehabilitation Act of 1973, as amended; or</w:t>
      </w:r>
    </w:p>
    <w:p w:rsidR="000A3C9D" w:rsidRPr="007D1B93" w:rsidRDefault="000A3C9D" w:rsidP="000A3C9D">
      <w:pPr>
        <w:spacing w:after="0"/>
        <w:ind w:left="1440"/>
        <w:rPr>
          <w:sz w:val="20"/>
          <w:szCs w:val="20"/>
        </w:rPr>
      </w:pPr>
      <w:r w:rsidRPr="007D1B93">
        <w:rPr>
          <w:sz w:val="20"/>
          <w:szCs w:val="20"/>
        </w:rPr>
        <w:t xml:space="preserve"> </w:t>
      </w:r>
    </w:p>
    <w:p w:rsidR="000A3C9D" w:rsidRPr="007D1B93" w:rsidRDefault="000A3C9D" w:rsidP="000A3C9D">
      <w:pPr>
        <w:spacing w:after="0"/>
        <w:ind w:left="1440"/>
        <w:rPr>
          <w:sz w:val="20"/>
          <w:szCs w:val="20"/>
        </w:rPr>
      </w:pPr>
      <w:r w:rsidRPr="007D1B93">
        <w:rPr>
          <w:sz w:val="20"/>
          <w:szCs w:val="20"/>
        </w:rPr>
        <w:t>(2) Requiring such employee to participate satisfactorily in a drug abuse assistance or rehabilitation program approved for such purposes by a Federal, State, or local health, law enforcement, or other appropriate agency;</w:t>
      </w:r>
    </w:p>
    <w:p w:rsidR="000A3C9D" w:rsidRPr="007D1B93" w:rsidRDefault="000A3C9D" w:rsidP="000A3C9D">
      <w:pPr>
        <w:spacing w:after="0"/>
        <w:rPr>
          <w:sz w:val="20"/>
          <w:szCs w:val="20"/>
        </w:rPr>
      </w:pPr>
    </w:p>
    <w:p w:rsidR="000A3C9D" w:rsidRPr="007D1B93" w:rsidRDefault="000A3C9D" w:rsidP="000A3C9D">
      <w:pPr>
        <w:spacing w:after="0"/>
        <w:ind w:left="720"/>
        <w:rPr>
          <w:sz w:val="20"/>
          <w:szCs w:val="20"/>
        </w:rPr>
      </w:pPr>
      <w:r w:rsidRPr="007D1B93">
        <w:rPr>
          <w:sz w:val="20"/>
          <w:szCs w:val="20"/>
        </w:rPr>
        <w:t>(g) Making a good faith effort to continue to maintain a drug-free workplace through implementation of paragraphs</w:t>
      </w:r>
      <w:r>
        <w:rPr>
          <w:sz w:val="20"/>
          <w:szCs w:val="20"/>
        </w:rPr>
        <w:t xml:space="preserve"> </w:t>
      </w:r>
      <w:r w:rsidRPr="007D1B93">
        <w:rPr>
          <w:sz w:val="20"/>
          <w:szCs w:val="20"/>
        </w:rPr>
        <w:t>(a), (b), (c), (d), (e), and (f).</w:t>
      </w:r>
    </w:p>
    <w:p w:rsidR="000A3C9D" w:rsidRPr="007D1B93" w:rsidRDefault="000A3C9D" w:rsidP="000A3C9D">
      <w:pPr>
        <w:spacing w:after="0"/>
        <w:rPr>
          <w:sz w:val="20"/>
          <w:szCs w:val="20"/>
        </w:rPr>
      </w:pPr>
    </w:p>
    <w:p w:rsidR="000A3C9D" w:rsidRPr="007D1B93" w:rsidRDefault="000A3C9D" w:rsidP="000A3C9D">
      <w:pPr>
        <w:spacing w:after="0"/>
        <w:rPr>
          <w:sz w:val="20"/>
          <w:szCs w:val="20"/>
        </w:rPr>
      </w:pPr>
      <w:r w:rsidRPr="007D1B93">
        <w:rPr>
          <w:sz w:val="20"/>
          <w:szCs w:val="20"/>
        </w:rPr>
        <w:t>B. The grantee may insert in the space provided below the site(s) for the performance of work done in connection with the specific grant:</w:t>
      </w:r>
    </w:p>
    <w:p w:rsidR="000A3C9D" w:rsidRDefault="000A3C9D" w:rsidP="000A3C9D">
      <w:pPr>
        <w:spacing w:after="0"/>
        <w:rPr>
          <w:rStyle w:val="Strong"/>
        </w:rPr>
      </w:pPr>
    </w:p>
    <w:p w:rsidR="000A3C9D" w:rsidRPr="00803CEF" w:rsidRDefault="000A3C9D" w:rsidP="000A3C9D">
      <w:pPr>
        <w:spacing w:after="0"/>
        <w:rPr>
          <w:rStyle w:val="Strong"/>
        </w:rPr>
      </w:pPr>
      <w:r>
        <w:rPr>
          <w:rStyle w:val="Strong"/>
        </w:rPr>
        <w:t>Place of Performance:</w:t>
      </w:r>
    </w:p>
    <w:tbl>
      <w:tblPr>
        <w:tblStyle w:val="MediumList2-Accent1"/>
        <w:tblW w:w="0" w:type="auto"/>
        <w:tblLook w:val="0480" w:firstRow="0" w:lastRow="0" w:firstColumn="1" w:lastColumn="0" w:noHBand="0" w:noVBand="1"/>
      </w:tblPr>
      <w:tblGrid>
        <w:gridCol w:w="2658"/>
        <w:gridCol w:w="6918"/>
      </w:tblGrid>
      <w:tr w:rsidR="000A3C9D" w:rsidRPr="003D347E" w:rsidTr="0071690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898" w:type="dxa"/>
          </w:tcPr>
          <w:p w:rsidR="000A3C9D" w:rsidRPr="003D347E" w:rsidRDefault="000A3C9D" w:rsidP="0071690A">
            <w:pPr>
              <w:jc w:val="right"/>
              <w:rPr>
                <w:b/>
                <w:bCs/>
                <w:color w:val="365F91" w:themeColor="accent1" w:themeShade="BF"/>
                <w:sz w:val="20"/>
                <w:szCs w:val="20"/>
              </w:rPr>
            </w:pPr>
            <w:r>
              <w:rPr>
                <w:b/>
                <w:bCs/>
                <w:sz w:val="20"/>
                <w:szCs w:val="20"/>
              </w:rPr>
              <w:t>Street Address:</w:t>
            </w:r>
          </w:p>
        </w:tc>
        <w:tc>
          <w:tcPr>
            <w:tcW w:w="7902" w:type="dxa"/>
          </w:tcPr>
          <w:p w:rsidR="000A3C9D" w:rsidRPr="003D4392" w:rsidRDefault="000A3C9D" w:rsidP="0071690A">
            <w:pPr>
              <w:cnfStyle w:val="000000100000" w:firstRow="0" w:lastRow="0" w:firstColumn="0" w:lastColumn="0" w:oddVBand="0" w:evenVBand="0" w:oddHBand="1" w:evenHBand="0" w:firstRowFirstColumn="0" w:firstRowLastColumn="0" w:lastRowFirstColumn="0" w:lastRowLastColumn="0"/>
              <w:rPr>
                <w:b/>
                <w:sz w:val="20"/>
                <w:szCs w:val="20"/>
              </w:rPr>
            </w:pPr>
          </w:p>
        </w:tc>
      </w:tr>
      <w:tr w:rsidR="000A3C9D" w:rsidRPr="003D347E" w:rsidTr="0071690A">
        <w:trPr>
          <w:trHeight w:val="250"/>
        </w:trPr>
        <w:tc>
          <w:tcPr>
            <w:cnfStyle w:val="001000000000" w:firstRow="0" w:lastRow="0" w:firstColumn="1" w:lastColumn="0" w:oddVBand="0" w:evenVBand="0" w:oddHBand="0" w:evenHBand="0" w:firstRowFirstColumn="0" w:firstRowLastColumn="0" w:lastRowFirstColumn="0" w:lastRowLastColumn="0"/>
            <w:tcW w:w="2898" w:type="dxa"/>
          </w:tcPr>
          <w:p w:rsidR="000A3C9D" w:rsidRPr="003D347E" w:rsidRDefault="000A3C9D" w:rsidP="0071690A">
            <w:pPr>
              <w:jc w:val="right"/>
              <w:rPr>
                <w:b/>
                <w:bCs/>
                <w:color w:val="365F91" w:themeColor="accent1" w:themeShade="BF"/>
                <w:sz w:val="20"/>
                <w:szCs w:val="20"/>
              </w:rPr>
            </w:pPr>
            <w:r>
              <w:rPr>
                <w:b/>
                <w:bCs/>
                <w:sz w:val="20"/>
                <w:szCs w:val="20"/>
              </w:rPr>
              <w:t>City, State  ZIP Code:</w:t>
            </w:r>
          </w:p>
        </w:tc>
        <w:tc>
          <w:tcPr>
            <w:tcW w:w="7902" w:type="dxa"/>
          </w:tcPr>
          <w:p w:rsidR="000A3C9D" w:rsidRPr="003D4392" w:rsidRDefault="000A3C9D" w:rsidP="0071690A">
            <w:pPr>
              <w:cnfStyle w:val="000000000000" w:firstRow="0" w:lastRow="0" w:firstColumn="0" w:lastColumn="0" w:oddVBand="0" w:evenVBand="0" w:oddHBand="0" w:evenHBand="0" w:firstRowFirstColumn="0" w:firstRowLastColumn="0" w:lastRowFirstColumn="0" w:lastRowLastColumn="0"/>
              <w:rPr>
                <w:b/>
                <w:sz w:val="20"/>
                <w:szCs w:val="20"/>
              </w:rPr>
            </w:pPr>
          </w:p>
        </w:tc>
      </w:tr>
      <w:tr w:rsidR="000A3C9D" w:rsidRPr="003D347E" w:rsidTr="0071690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898" w:type="dxa"/>
          </w:tcPr>
          <w:p w:rsidR="000A3C9D" w:rsidRPr="003D347E" w:rsidRDefault="000A3C9D" w:rsidP="0071690A">
            <w:pPr>
              <w:jc w:val="right"/>
              <w:rPr>
                <w:b/>
                <w:bCs/>
                <w:color w:val="365F91" w:themeColor="accent1" w:themeShade="BF"/>
                <w:sz w:val="20"/>
                <w:szCs w:val="20"/>
              </w:rPr>
            </w:pPr>
            <w:r>
              <w:rPr>
                <w:b/>
                <w:bCs/>
                <w:sz w:val="20"/>
                <w:szCs w:val="20"/>
              </w:rPr>
              <w:t>County</w:t>
            </w:r>
          </w:p>
        </w:tc>
        <w:tc>
          <w:tcPr>
            <w:tcW w:w="7902" w:type="dxa"/>
          </w:tcPr>
          <w:p w:rsidR="000A3C9D" w:rsidRPr="003D4392" w:rsidRDefault="000A3C9D" w:rsidP="0071690A">
            <w:pPr>
              <w:cnfStyle w:val="000000100000" w:firstRow="0" w:lastRow="0" w:firstColumn="0" w:lastColumn="0" w:oddVBand="0" w:evenVBand="0" w:oddHBand="1" w:evenHBand="0" w:firstRowFirstColumn="0" w:firstRowLastColumn="0" w:lastRowFirstColumn="0" w:lastRowLastColumn="0"/>
              <w:rPr>
                <w:b/>
                <w:sz w:val="20"/>
                <w:szCs w:val="20"/>
              </w:rPr>
            </w:pPr>
          </w:p>
        </w:tc>
      </w:tr>
    </w:tbl>
    <w:p w:rsidR="000A3C9D" w:rsidRPr="00803CEF" w:rsidRDefault="000A3C9D" w:rsidP="000A3C9D">
      <w:pPr>
        <w:spacing w:after="0"/>
        <w:rPr>
          <w:rStyle w:val="Emphasis"/>
        </w:rPr>
      </w:pPr>
      <w:r w:rsidRPr="00803CEF">
        <w:rPr>
          <w:rStyle w:val="Emphasis"/>
        </w:rPr>
        <w:t xml:space="preserve">Check </w:t>
      </w:r>
      <w:r w:rsidRPr="00A02528">
        <w:rPr>
          <w:rStyle w:val="Emphasis"/>
          <w:b/>
          <w:highlight w:val="yellow"/>
        </w:rPr>
        <w:t>[  ]</w:t>
      </w:r>
      <w:r w:rsidRPr="00803CEF">
        <w:rPr>
          <w:rStyle w:val="Emphasis"/>
        </w:rPr>
        <w:t xml:space="preserve"> if there are workplaces on file that are not identified here.</w:t>
      </w:r>
    </w:p>
    <w:p w:rsidR="000A3C9D" w:rsidRPr="007D1B93" w:rsidRDefault="000A3C9D" w:rsidP="000A3C9D">
      <w:pPr>
        <w:spacing w:after="0"/>
        <w:rPr>
          <w:sz w:val="20"/>
          <w:szCs w:val="20"/>
        </w:rPr>
      </w:pPr>
    </w:p>
    <w:p w:rsidR="000A3C9D" w:rsidRPr="00F35060" w:rsidRDefault="000A3C9D" w:rsidP="000A3C9D">
      <w:pPr>
        <w:pStyle w:val="Subtitle"/>
        <w:spacing w:after="0"/>
        <w:rPr>
          <w:rFonts w:asciiTheme="minorHAnsi" w:hAnsiTheme="minorHAnsi"/>
          <w:i w:val="0"/>
          <w:color w:val="auto"/>
          <w:sz w:val="22"/>
        </w:rPr>
      </w:pPr>
      <w:r w:rsidRPr="00F35060">
        <w:rPr>
          <w:rFonts w:asciiTheme="minorHAnsi" w:hAnsiTheme="minorHAnsi"/>
          <w:i w:val="0"/>
          <w:color w:val="auto"/>
          <w:sz w:val="22"/>
        </w:rPr>
        <w:t>DRUG-</w:t>
      </w:r>
      <w:smartTag w:uri="urn:schemas-microsoft-com:office:smarttags" w:element="stockticker">
        <w:r w:rsidRPr="00F35060">
          <w:rPr>
            <w:rFonts w:asciiTheme="minorHAnsi" w:hAnsiTheme="minorHAnsi"/>
            <w:i w:val="0"/>
            <w:color w:val="auto"/>
            <w:sz w:val="22"/>
          </w:rPr>
          <w:t>FREE</w:t>
        </w:r>
      </w:smartTag>
      <w:r w:rsidRPr="00F35060">
        <w:rPr>
          <w:rFonts w:asciiTheme="minorHAnsi" w:hAnsiTheme="minorHAnsi"/>
          <w:i w:val="0"/>
          <w:color w:val="auto"/>
          <w:sz w:val="22"/>
        </w:rPr>
        <w:t xml:space="preserve"> WORKPLACE (GRANTEES WHO </w:t>
      </w:r>
      <w:smartTag w:uri="urn:schemas-microsoft-com:office:smarttags" w:element="stockticker">
        <w:r w:rsidRPr="00F35060">
          <w:rPr>
            <w:rFonts w:asciiTheme="minorHAnsi" w:hAnsiTheme="minorHAnsi"/>
            <w:i w:val="0"/>
            <w:color w:val="auto"/>
            <w:sz w:val="22"/>
          </w:rPr>
          <w:t>ARE</w:t>
        </w:r>
      </w:smartTag>
      <w:r w:rsidRPr="00F35060">
        <w:rPr>
          <w:rFonts w:asciiTheme="minorHAnsi" w:hAnsiTheme="minorHAnsi"/>
          <w:i w:val="0"/>
          <w:color w:val="auto"/>
          <w:sz w:val="22"/>
        </w:rPr>
        <w:t xml:space="preserve"> INDIVIDUALS)</w:t>
      </w:r>
    </w:p>
    <w:p w:rsidR="000A3C9D" w:rsidRPr="007D1B93" w:rsidRDefault="000A3C9D" w:rsidP="000A3C9D">
      <w:pPr>
        <w:spacing w:after="0"/>
        <w:rPr>
          <w:sz w:val="20"/>
          <w:szCs w:val="20"/>
        </w:rPr>
      </w:pPr>
      <w:r w:rsidRPr="007D1B93">
        <w:rPr>
          <w:sz w:val="20"/>
          <w:szCs w:val="20"/>
        </w:rPr>
        <w:t xml:space="preserve">As required by the Drug-Free Workplace Act of 1988, and implemented at 34 </w:t>
      </w:r>
      <w:smartTag w:uri="urn:schemas-microsoft-com:office:smarttags" w:element="stockticker">
        <w:r w:rsidRPr="007D1B93">
          <w:rPr>
            <w:sz w:val="20"/>
            <w:szCs w:val="20"/>
          </w:rPr>
          <w:t>CFR</w:t>
        </w:r>
      </w:smartTag>
      <w:r w:rsidRPr="007D1B93">
        <w:rPr>
          <w:sz w:val="20"/>
          <w:szCs w:val="20"/>
        </w:rPr>
        <w:t xml:space="preserve"> Part 85, Subpart F, for grantees, as defined at 34 </w:t>
      </w:r>
      <w:smartTag w:uri="urn:schemas-microsoft-com:office:smarttags" w:element="stockticker">
        <w:r w:rsidRPr="007D1B93">
          <w:rPr>
            <w:sz w:val="20"/>
            <w:szCs w:val="20"/>
          </w:rPr>
          <w:t>CFR</w:t>
        </w:r>
      </w:smartTag>
      <w:r w:rsidRPr="007D1B93">
        <w:rPr>
          <w:sz w:val="20"/>
          <w:szCs w:val="20"/>
        </w:rPr>
        <w:t xml:space="preserve"> Part 85, Sections 85.605 and 85.610-</w:t>
      </w:r>
    </w:p>
    <w:p w:rsidR="000A3C9D" w:rsidRPr="007D1B93" w:rsidRDefault="000A3C9D" w:rsidP="000A3C9D">
      <w:pPr>
        <w:spacing w:after="0"/>
        <w:rPr>
          <w:sz w:val="20"/>
          <w:szCs w:val="20"/>
        </w:rPr>
      </w:pPr>
    </w:p>
    <w:p w:rsidR="000A3C9D" w:rsidRPr="007D1B93" w:rsidRDefault="000A3C9D" w:rsidP="000A3C9D">
      <w:pPr>
        <w:spacing w:after="0"/>
        <w:rPr>
          <w:sz w:val="20"/>
          <w:szCs w:val="20"/>
        </w:rPr>
      </w:pPr>
      <w:r w:rsidRPr="007D1B93">
        <w:rPr>
          <w:sz w:val="20"/>
          <w:szCs w:val="20"/>
        </w:rPr>
        <w:t>A.</w:t>
      </w:r>
      <w:r>
        <w:rPr>
          <w:sz w:val="20"/>
          <w:szCs w:val="20"/>
        </w:rPr>
        <w:t xml:space="preserve"> </w:t>
      </w:r>
      <w:r w:rsidRPr="007D1B93">
        <w:rPr>
          <w:sz w:val="20"/>
          <w:szCs w:val="20"/>
        </w:rPr>
        <w:t xml:space="preserve">As a condition of the grant, I certify that I will not engage in the unlawful manufacture, distribution, dispensing, possession, or use of a controlled substance in conducting any activity with the grant; and </w:t>
      </w:r>
    </w:p>
    <w:p w:rsidR="000A3C9D" w:rsidRPr="007D1B93" w:rsidRDefault="000A3C9D" w:rsidP="000A3C9D">
      <w:pPr>
        <w:spacing w:after="0"/>
        <w:rPr>
          <w:sz w:val="20"/>
          <w:szCs w:val="20"/>
        </w:rPr>
      </w:pPr>
    </w:p>
    <w:p w:rsidR="000A3C9D" w:rsidRPr="007D1B93" w:rsidRDefault="000A3C9D" w:rsidP="000A3C9D">
      <w:pPr>
        <w:spacing w:after="0"/>
        <w:rPr>
          <w:sz w:val="20"/>
          <w:szCs w:val="20"/>
        </w:rPr>
      </w:pPr>
      <w:r w:rsidRPr="007D1B93">
        <w:rPr>
          <w:sz w:val="20"/>
          <w:szCs w:val="20"/>
        </w:rPr>
        <w:t xml:space="preserve">If convicted of a criminal drug offense resulting from a violation occurring during the conduct of any grant activity, I will report the conviction, in writing, within 10 calendar days of the conviction, to: Director, Grants Policy and Oversight Staff, Department of Education, </w:t>
      </w:r>
      <w:smartTag w:uri="urn:schemas-microsoft-com:office:smarttags" w:element="Street">
        <w:smartTag w:uri="urn:schemas-microsoft-com:office:smarttags" w:element="address">
          <w:r w:rsidRPr="007D1B93">
            <w:rPr>
              <w:sz w:val="20"/>
              <w:szCs w:val="20"/>
            </w:rPr>
            <w:t>400 Maryland Avenue, S.W.</w:t>
          </w:r>
        </w:smartTag>
      </w:smartTag>
      <w:r w:rsidRPr="007D1B93">
        <w:rPr>
          <w:sz w:val="20"/>
          <w:szCs w:val="20"/>
        </w:rPr>
        <w:t xml:space="preserve"> (Room 3652, GSA Regional Office Building No. 3), </w:t>
      </w:r>
      <w:smartTag w:uri="urn:schemas-microsoft-com:office:smarttags" w:element="place">
        <w:smartTag w:uri="urn:schemas-microsoft-com:office:smarttags" w:element="City">
          <w:r w:rsidRPr="007D1B93">
            <w:rPr>
              <w:sz w:val="20"/>
              <w:szCs w:val="20"/>
            </w:rPr>
            <w:t>Washington</w:t>
          </w:r>
        </w:smartTag>
        <w:r w:rsidRPr="007D1B93">
          <w:rPr>
            <w:sz w:val="20"/>
            <w:szCs w:val="20"/>
          </w:rPr>
          <w:t xml:space="preserve">, </w:t>
        </w:r>
        <w:smartTag w:uri="urn:schemas-microsoft-com:office:smarttags" w:element="State">
          <w:r w:rsidRPr="007D1B93">
            <w:rPr>
              <w:sz w:val="20"/>
              <w:szCs w:val="20"/>
            </w:rPr>
            <w:t>DC</w:t>
          </w:r>
        </w:smartTag>
        <w:r w:rsidRPr="007D1B93">
          <w:rPr>
            <w:sz w:val="20"/>
            <w:szCs w:val="20"/>
          </w:rPr>
          <w:t xml:space="preserve"> </w:t>
        </w:r>
        <w:smartTag w:uri="urn:schemas-microsoft-com:office:smarttags" w:element="PostalCode">
          <w:r w:rsidRPr="007D1B93">
            <w:rPr>
              <w:sz w:val="20"/>
              <w:szCs w:val="20"/>
            </w:rPr>
            <w:t>20202-4248</w:t>
          </w:r>
        </w:smartTag>
      </w:smartTag>
      <w:r w:rsidRPr="007D1B93">
        <w:rPr>
          <w:sz w:val="20"/>
          <w:szCs w:val="20"/>
        </w:rPr>
        <w:t>.</w:t>
      </w:r>
      <w:r>
        <w:rPr>
          <w:sz w:val="20"/>
          <w:szCs w:val="20"/>
        </w:rPr>
        <w:t xml:space="preserve"> </w:t>
      </w:r>
      <w:r w:rsidRPr="007D1B93">
        <w:rPr>
          <w:sz w:val="20"/>
          <w:szCs w:val="20"/>
        </w:rPr>
        <w:t xml:space="preserve">Notice shall include the identification number(s) of each affected grant. </w:t>
      </w:r>
    </w:p>
    <w:p w:rsidR="000A3C9D" w:rsidRPr="007D1B93" w:rsidRDefault="000A3C9D" w:rsidP="000A3C9D">
      <w:pPr>
        <w:spacing w:after="0"/>
        <w:rPr>
          <w:sz w:val="20"/>
          <w:szCs w:val="20"/>
        </w:rPr>
      </w:pPr>
    </w:p>
    <w:p w:rsidR="00F35060" w:rsidRDefault="00F35060">
      <w:pPr>
        <w:rPr>
          <w:b/>
          <w:sz w:val="28"/>
          <w:szCs w:val="28"/>
        </w:rPr>
      </w:pPr>
      <w:r>
        <w:rPr>
          <w:b/>
          <w:sz w:val="28"/>
          <w:szCs w:val="28"/>
        </w:rPr>
        <w:br w:type="page"/>
      </w:r>
    </w:p>
    <w:p w:rsidR="000A3C9D" w:rsidRPr="00F35060" w:rsidRDefault="000A3C9D" w:rsidP="000A3C9D">
      <w:pPr>
        <w:spacing w:after="0"/>
        <w:rPr>
          <w:szCs w:val="28"/>
        </w:rPr>
      </w:pPr>
      <w:r w:rsidRPr="00F35060">
        <w:rPr>
          <w:szCs w:val="28"/>
        </w:rPr>
        <w:t>ASSURANCES - NON-CONSTRUCTION PROGRAMS</w:t>
      </w:r>
    </w:p>
    <w:p w:rsidR="000A3C9D" w:rsidRPr="007D1B93" w:rsidRDefault="000A3C9D" w:rsidP="000A3C9D">
      <w:pPr>
        <w:spacing w:after="0"/>
        <w:rPr>
          <w:sz w:val="20"/>
          <w:szCs w:val="20"/>
        </w:rPr>
      </w:pPr>
      <w:r w:rsidRPr="007D1B93">
        <w:rPr>
          <w:sz w:val="20"/>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w:t>
      </w:r>
      <w:r>
        <w:rPr>
          <w:sz w:val="20"/>
          <w:szCs w:val="20"/>
        </w:rPr>
        <w:t xml:space="preserve"> </w:t>
      </w:r>
      <w:r w:rsidRPr="007D1B93">
        <w:rPr>
          <w:sz w:val="20"/>
          <w:szCs w:val="20"/>
        </w:rPr>
        <w:t xml:space="preserve">Send comments regarding the burden estimate or any other aspect of this collection of information, including suggestions for reducing this burden, to the Office of Management and Budget, Paperwork Reduction Project (0348-0040), </w:t>
      </w:r>
      <w:smartTag w:uri="urn:schemas-microsoft-com:office:smarttags" w:element="place">
        <w:smartTag w:uri="urn:schemas-microsoft-com:office:smarttags" w:element="City">
          <w:r w:rsidRPr="007D1B93">
            <w:rPr>
              <w:sz w:val="20"/>
              <w:szCs w:val="20"/>
            </w:rPr>
            <w:t>Washington</w:t>
          </w:r>
        </w:smartTag>
        <w:r w:rsidRPr="007D1B93">
          <w:rPr>
            <w:sz w:val="20"/>
            <w:szCs w:val="20"/>
          </w:rPr>
          <w:t xml:space="preserve">, </w:t>
        </w:r>
        <w:smartTag w:uri="urn:schemas-microsoft-com:office:smarttags" w:element="State">
          <w:r w:rsidRPr="007D1B93">
            <w:rPr>
              <w:sz w:val="20"/>
              <w:szCs w:val="20"/>
            </w:rPr>
            <w:t>DC</w:t>
          </w:r>
        </w:smartTag>
        <w:r w:rsidRPr="007D1B93">
          <w:rPr>
            <w:sz w:val="20"/>
            <w:szCs w:val="20"/>
          </w:rPr>
          <w:t xml:space="preserve"> </w:t>
        </w:r>
        <w:smartTag w:uri="urn:schemas-microsoft-com:office:smarttags" w:element="PostalCode">
          <w:r w:rsidRPr="007D1B93">
            <w:rPr>
              <w:sz w:val="20"/>
              <w:szCs w:val="20"/>
            </w:rPr>
            <w:t>20503</w:t>
          </w:r>
        </w:smartTag>
      </w:smartTag>
    </w:p>
    <w:p w:rsidR="000A3C9D" w:rsidRPr="007D1B93" w:rsidRDefault="000A3C9D" w:rsidP="000A3C9D">
      <w:pPr>
        <w:spacing w:after="0"/>
        <w:rPr>
          <w:sz w:val="20"/>
          <w:szCs w:val="20"/>
        </w:rPr>
      </w:pPr>
    </w:p>
    <w:p w:rsidR="000A3C9D" w:rsidRDefault="000A3C9D" w:rsidP="000A3C9D">
      <w:pPr>
        <w:spacing w:after="0"/>
        <w:rPr>
          <w:rStyle w:val="SubtleReference"/>
        </w:rPr>
      </w:pPr>
      <w:r w:rsidRPr="00803CEF">
        <w:rPr>
          <w:rStyle w:val="SubtleReference"/>
        </w:rPr>
        <w:t xml:space="preserve">PLEASE DO NOT RETURN YOUR COMPLETED </w:t>
      </w:r>
      <w:smartTag w:uri="urn:schemas-microsoft-com:office:smarttags" w:element="stockticker">
        <w:r w:rsidRPr="00803CEF">
          <w:rPr>
            <w:rStyle w:val="SubtleReference"/>
          </w:rPr>
          <w:t>FORM</w:t>
        </w:r>
      </w:smartTag>
      <w:r w:rsidRPr="00803CEF">
        <w:rPr>
          <w:rStyle w:val="SubtleReference"/>
        </w:rPr>
        <w:t xml:space="preserve"> TO THE OFFICE OF MANAGEMENT </w:t>
      </w:r>
      <w:smartTag w:uri="urn:schemas-microsoft-com:office:smarttags" w:element="stockticker">
        <w:r w:rsidRPr="00803CEF">
          <w:rPr>
            <w:rStyle w:val="SubtleReference"/>
          </w:rPr>
          <w:t>AND</w:t>
        </w:r>
      </w:smartTag>
      <w:r w:rsidRPr="00803CEF">
        <w:rPr>
          <w:rStyle w:val="SubtleReference"/>
        </w:rPr>
        <w:t xml:space="preserve"> BUDGET. SEND IT TO</w:t>
      </w:r>
      <w:r>
        <w:rPr>
          <w:rStyle w:val="SubtleReference"/>
        </w:rPr>
        <w:t>:</w:t>
      </w:r>
    </w:p>
    <w:p w:rsidR="000A3C9D" w:rsidRPr="00F35060" w:rsidRDefault="000A3C9D" w:rsidP="000A3C9D">
      <w:pPr>
        <w:spacing w:after="0"/>
        <w:rPr>
          <w:rStyle w:val="Emphasis"/>
          <w:i w:val="0"/>
        </w:rPr>
      </w:pPr>
      <w:r w:rsidRPr="00F35060">
        <w:rPr>
          <w:rStyle w:val="Emphasis"/>
          <w:i w:val="0"/>
        </w:rPr>
        <w:t>SD Department Of Education</w:t>
      </w:r>
    </w:p>
    <w:p w:rsidR="000A3C9D" w:rsidRPr="00F35060" w:rsidRDefault="000A3C9D" w:rsidP="000A3C9D">
      <w:pPr>
        <w:spacing w:after="0"/>
        <w:rPr>
          <w:rStyle w:val="Emphasis"/>
          <w:i w:val="0"/>
        </w:rPr>
      </w:pPr>
      <w:r w:rsidRPr="00F35060">
        <w:rPr>
          <w:rStyle w:val="Emphasis"/>
          <w:i w:val="0"/>
        </w:rPr>
        <w:t>ATTN: Division of Career and Technical Education</w:t>
      </w:r>
    </w:p>
    <w:p w:rsidR="000A3C9D" w:rsidRPr="00F35060" w:rsidRDefault="000A3C9D" w:rsidP="000A3C9D">
      <w:pPr>
        <w:spacing w:after="0"/>
        <w:rPr>
          <w:rStyle w:val="Emphasis"/>
          <w:i w:val="0"/>
        </w:rPr>
      </w:pPr>
      <w:r w:rsidRPr="00F35060">
        <w:rPr>
          <w:rStyle w:val="Emphasis"/>
          <w:i w:val="0"/>
        </w:rPr>
        <w:t>800 Governor’s Drive</w:t>
      </w:r>
    </w:p>
    <w:p w:rsidR="000A3C9D" w:rsidRPr="00F35060" w:rsidRDefault="000A3C9D" w:rsidP="000A3C9D">
      <w:pPr>
        <w:spacing w:after="0"/>
        <w:rPr>
          <w:rStyle w:val="Emphasis"/>
          <w:i w:val="0"/>
        </w:rPr>
      </w:pPr>
      <w:r w:rsidRPr="00F35060">
        <w:rPr>
          <w:rStyle w:val="Emphasis"/>
          <w:i w:val="0"/>
        </w:rPr>
        <w:t>Pierre, SD  57501</w:t>
      </w:r>
    </w:p>
    <w:p w:rsidR="000A3C9D" w:rsidRPr="007D1B93" w:rsidRDefault="000A3C9D" w:rsidP="000A3C9D">
      <w:pPr>
        <w:spacing w:after="0"/>
        <w:rPr>
          <w:sz w:val="20"/>
          <w:szCs w:val="20"/>
        </w:rPr>
      </w:pPr>
    </w:p>
    <w:p w:rsidR="000A3C9D" w:rsidRPr="007D1B93" w:rsidRDefault="000A3C9D" w:rsidP="000A3C9D">
      <w:pPr>
        <w:spacing w:after="0"/>
        <w:ind w:left="720" w:hanging="720"/>
        <w:rPr>
          <w:sz w:val="20"/>
          <w:szCs w:val="20"/>
        </w:rPr>
      </w:pPr>
      <w:r w:rsidRPr="00803CEF">
        <w:rPr>
          <w:rStyle w:val="Strong"/>
        </w:rPr>
        <w:t>NOTE:</w:t>
      </w:r>
      <w:r w:rsidRPr="007D1B93">
        <w:rPr>
          <w:sz w:val="20"/>
          <w:szCs w:val="20"/>
        </w:rPr>
        <w:tab/>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0A3C9D" w:rsidRPr="00F35060" w:rsidRDefault="000A3C9D" w:rsidP="000A3C9D">
      <w:pPr>
        <w:spacing w:after="0"/>
        <w:rPr>
          <w:sz w:val="18"/>
          <w:szCs w:val="20"/>
        </w:rPr>
      </w:pPr>
    </w:p>
    <w:p w:rsidR="000A3C9D" w:rsidRPr="00803CEF" w:rsidRDefault="000A3C9D" w:rsidP="000A3C9D">
      <w:pPr>
        <w:spacing w:after="0"/>
        <w:rPr>
          <w:rStyle w:val="Strong"/>
        </w:rPr>
      </w:pPr>
      <w:r w:rsidRPr="00803CEF">
        <w:rPr>
          <w:rStyle w:val="Strong"/>
        </w:rPr>
        <w:t>As the duly authorized representative of the applicant I certify that the applicant:</w:t>
      </w:r>
    </w:p>
    <w:p w:rsidR="000A3C9D" w:rsidRPr="00803CEF" w:rsidRDefault="000A3C9D" w:rsidP="000A3C9D">
      <w:pPr>
        <w:pStyle w:val="ListParagraph"/>
        <w:numPr>
          <w:ilvl w:val="0"/>
          <w:numId w:val="9"/>
        </w:numPr>
        <w:spacing w:after="0"/>
        <w:rPr>
          <w:sz w:val="20"/>
          <w:szCs w:val="20"/>
        </w:rPr>
      </w:pPr>
      <w:r w:rsidRPr="00803CEF">
        <w:rPr>
          <w:sz w:val="20"/>
          <w:szCs w:val="20"/>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0A3C9D" w:rsidRPr="00803CEF" w:rsidRDefault="000A3C9D" w:rsidP="000A3C9D">
      <w:pPr>
        <w:pStyle w:val="ListParagraph"/>
        <w:numPr>
          <w:ilvl w:val="0"/>
          <w:numId w:val="9"/>
        </w:numPr>
        <w:spacing w:after="0"/>
        <w:rPr>
          <w:sz w:val="20"/>
          <w:szCs w:val="20"/>
        </w:rPr>
      </w:pPr>
      <w:r w:rsidRPr="00803CEF">
        <w:rPr>
          <w:sz w:val="20"/>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0A3C9D" w:rsidRPr="00803CEF" w:rsidRDefault="000A3C9D" w:rsidP="000A3C9D">
      <w:pPr>
        <w:pStyle w:val="ListParagraph"/>
        <w:numPr>
          <w:ilvl w:val="0"/>
          <w:numId w:val="9"/>
        </w:numPr>
        <w:spacing w:after="0"/>
        <w:rPr>
          <w:sz w:val="20"/>
          <w:szCs w:val="20"/>
        </w:rPr>
      </w:pPr>
      <w:r w:rsidRPr="00803CEF">
        <w:rPr>
          <w:sz w:val="20"/>
          <w:szCs w:val="20"/>
        </w:rPr>
        <w:t>Will establish safeguards to prohibit employees from using their positions for a purpose that constitutes or presents the appearance of personal or organizational conflict of interest, or personal gain.</w:t>
      </w:r>
    </w:p>
    <w:p w:rsidR="000A3C9D" w:rsidRPr="00803CEF" w:rsidRDefault="000A3C9D" w:rsidP="000A3C9D">
      <w:pPr>
        <w:pStyle w:val="ListParagraph"/>
        <w:numPr>
          <w:ilvl w:val="0"/>
          <w:numId w:val="9"/>
        </w:numPr>
        <w:spacing w:after="0"/>
        <w:rPr>
          <w:sz w:val="20"/>
          <w:szCs w:val="20"/>
        </w:rPr>
      </w:pPr>
      <w:r w:rsidRPr="00803CEF">
        <w:rPr>
          <w:sz w:val="20"/>
          <w:szCs w:val="20"/>
        </w:rPr>
        <w:t>Will initiate and complete the work within the applicable time frame after receipt of approval of the awarding agency.</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the Intergovernmental Personnel Act of 1970 (42 U.S.C. </w:t>
      </w:r>
      <w:r>
        <w:rPr>
          <w:rFonts w:cstheme="minorHAnsi"/>
          <w:sz w:val="20"/>
          <w:szCs w:val="20"/>
        </w:rPr>
        <w:t>§§</w:t>
      </w:r>
      <w:r w:rsidRPr="00803CEF">
        <w:rPr>
          <w:sz w:val="20"/>
          <w:szCs w:val="20"/>
        </w:rPr>
        <w:t>4728-4763) relating to prescribed standards for merit systems for programs funded under one of the 19 statutes or regulations specified in Appendix A of OPM's Standards for a Merit System of Personnel Administration (5 C.F.R. 900, Subpart F).</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cstheme="minorHAnsi"/>
          <w:sz w:val="20"/>
          <w:szCs w:val="20"/>
        </w:rPr>
        <w:t>§§</w:t>
      </w:r>
      <w:r w:rsidRPr="00803CEF">
        <w:rPr>
          <w:sz w:val="20"/>
          <w:szCs w:val="20"/>
        </w:rPr>
        <w:t xml:space="preserve">1681-1683, and 1685-1686), which prohibits discrimination on the basis of sex; (c) Section 504 of the Rehabilitation Act of 1973, as amended (29 U.S.C. </w:t>
      </w:r>
      <w:r>
        <w:rPr>
          <w:rFonts w:cstheme="minorHAnsi"/>
          <w:sz w:val="20"/>
          <w:szCs w:val="20"/>
        </w:rPr>
        <w:t>§</w:t>
      </w:r>
      <w:r w:rsidRPr="00803CEF">
        <w:rPr>
          <w:sz w:val="20"/>
          <w:szCs w:val="20"/>
        </w:rPr>
        <w:t xml:space="preserve">794), which prohibits discrimination on the basis of handicaps; (d) the Age Discrimination Act of 1975, as amended (42 U.S.C. </w:t>
      </w:r>
      <w:r>
        <w:rPr>
          <w:rFonts w:cstheme="minorHAnsi"/>
          <w:sz w:val="20"/>
          <w:szCs w:val="20"/>
        </w:rPr>
        <w:t>§§</w:t>
      </w:r>
      <w:r w:rsidRPr="00803CEF">
        <w:rPr>
          <w:sz w:val="20"/>
          <w:szCs w:val="20"/>
        </w:rPr>
        <w:t xml:space="preserve"> 6101-6107), which prohibits discrimination on the basis of age; (e) the Drug Abuse Office and Treatment Act of 1972 (P.L. 92-255), as amended, relating to nondiscrimination on the basis of drug abuse;</w:t>
      </w:r>
      <w:r w:rsidR="00F35060">
        <w:rPr>
          <w:sz w:val="20"/>
          <w:szCs w:val="20"/>
        </w:rPr>
        <w:t xml:space="preserve">                   </w:t>
      </w:r>
      <w:r w:rsidRPr="00803CEF">
        <w:rPr>
          <w:sz w:val="20"/>
          <w:szCs w:val="20"/>
        </w:rPr>
        <w:t xml:space="preserve"> (f) the Comprehensive Alcohol Abuse and Alcoholism Prevention, Treatment and Rehabilitation Act of 1970 (P.L. 91-616), as amended, relating to nondiscrimination on the basis of alcohol abuse or alcoholism; (g) </w:t>
      </w:r>
      <w:r>
        <w:rPr>
          <w:rFonts w:cstheme="minorHAnsi"/>
          <w:sz w:val="20"/>
          <w:szCs w:val="20"/>
        </w:rPr>
        <w:t>§§</w:t>
      </w:r>
      <w:r w:rsidRPr="00803CEF">
        <w:rPr>
          <w:sz w:val="20"/>
          <w:szCs w:val="20"/>
        </w:rPr>
        <w:t xml:space="preserve"> 523 and 527 of the Public Health Service Act of 1912 (42 U.S.C. </w:t>
      </w:r>
      <w:r>
        <w:rPr>
          <w:rFonts w:cstheme="minorHAnsi"/>
          <w:sz w:val="20"/>
          <w:szCs w:val="20"/>
        </w:rPr>
        <w:t>§§</w:t>
      </w:r>
      <w:r>
        <w:rPr>
          <w:sz w:val="20"/>
          <w:szCs w:val="20"/>
        </w:rPr>
        <w:t xml:space="preserve"> </w:t>
      </w:r>
      <w:r w:rsidRPr="00803CEF">
        <w:rPr>
          <w:sz w:val="20"/>
          <w:szCs w:val="20"/>
        </w:rPr>
        <w:t xml:space="preserve">290 dd-3 and 290 </w:t>
      </w:r>
      <w:proofErr w:type="spellStart"/>
      <w:r w:rsidRPr="00803CEF">
        <w:rPr>
          <w:sz w:val="20"/>
          <w:szCs w:val="20"/>
        </w:rPr>
        <w:t>ee</w:t>
      </w:r>
      <w:proofErr w:type="spellEnd"/>
      <w:r w:rsidRPr="00803CEF">
        <w:rPr>
          <w:sz w:val="20"/>
          <w:szCs w:val="20"/>
        </w:rPr>
        <w:t xml:space="preserve"> 3), as amended, relating to confidentiality of alcohol and drug abuse patient records; (h) Title VIII of the Civil Rights Act of 1968 (42 U.S.C. </w:t>
      </w:r>
      <w:r>
        <w:rPr>
          <w:rFonts w:cstheme="minorHAnsi"/>
          <w:sz w:val="20"/>
          <w:szCs w:val="20"/>
        </w:rPr>
        <w:t>§</w:t>
      </w:r>
      <w:r w:rsidRPr="00803CEF">
        <w:rPr>
          <w:sz w:val="20"/>
          <w:szCs w:val="20"/>
        </w:rPr>
        <w:t xml:space="preserve"> 3601 et seq.), as amended, relating to nondiscrimination in the sale, rental or financing of housing; (</w:t>
      </w:r>
      <w:proofErr w:type="spellStart"/>
      <w:r w:rsidRPr="00803CEF">
        <w:rPr>
          <w:sz w:val="20"/>
          <w:szCs w:val="20"/>
        </w:rPr>
        <w:t>i</w:t>
      </w:r>
      <w:proofErr w:type="spellEnd"/>
      <w:r w:rsidRPr="00803CEF">
        <w:rPr>
          <w:sz w:val="20"/>
          <w:szCs w:val="20"/>
        </w:rPr>
        <w:t>) any other nondiscrimination provisions in the specific statute(s) under which application for Federal assistance is being made; and (j) the requirements of any other nondiscrimination statute(s) which may apply to the application.</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or has already complied, with the requirements of </w:t>
      </w:r>
      <w:smartTag w:uri="urn:schemas-microsoft-com:office:smarttags" w:element="PersonName">
        <w:r w:rsidRPr="00803CEF">
          <w:rPr>
            <w:sz w:val="20"/>
            <w:szCs w:val="20"/>
          </w:rPr>
          <w:t>Title</w:t>
        </w:r>
      </w:smartTag>
      <w:r w:rsidRPr="00803CEF">
        <w:rPr>
          <w:sz w:val="20"/>
          <w:szCs w:val="20"/>
        </w:rPr>
        <w:t xml:space="preserve">s II and </w:t>
      </w:r>
      <w:smartTag w:uri="urn:schemas-microsoft-com:office:smarttags" w:element="stockticker">
        <w:r w:rsidRPr="00803CEF">
          <w:rPr>
            <w:sz w:val="20"/>
            <w:szCs w:val="20"/>
          </w:rPr>
          <w:t>III</w:t>
        </w:r>
      </w:smartTag>
      <w:r w:rsidRPr="00803CEF">
        <w:rPr>
          <w:sz w:val="20"/>
          <w:szCs w:val="20"/>
        </w:rPr>
        <w:t xml:space="preserve">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as applicable, with the provisions of the Hatch Act (5 U.S.C. </w:t>
      </w:r>
      <w:r>
        <w:rPr>
          <w:rFonts w:cstheme="minorHAnsi"/>
          <w:sz w:val="20"/>
          <w:szCs w:val="20"/>
        </w:rPr>
        <w:t>§§</w:t>
      </w:r>
      <w:r w:rsidRPr="00803CEF">
        <w:rPr>
          <w:sz w:val="20"/>
          <w:szCs w:val="20"/>
        </w:rPr>
        <w:t>1501-1508 and 7324-7328) which limit the political activities of employees whose principal employment activities are funded in whole or in part with Federal funds.</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as applicable, with the provisions of the Davis-Bacon Act (40 U.S.C. </w:t>
      </w:r>
      <w:r>
        <w:rPr>
          <w:rFonts w:cstheme="minorHAnsi"/>
          <w:sz w:val="20"/>
          <w:szCs w:val="20"/>
        </w:rPr>
        <w:t>§§</w:t>
      </w:r>
      <w:r w:rsidRPr="00803CEF">
        <w:rPr>
          <w:sz w:val="20"/>
          <w:szCs w:val="20"/>
        </w:rPr>
        <w:t xml:space="preserve">276a to 276a-7), the Copeland Act (40 U.S.C. </w:t>
      </w:r>
      <w:r>
        <w:rPr>
          <w:rFonts w:cstheme="minorHAnsi"/>
          <w:sz w:val="20"/>
          <w:szCs w:val="20"/>
        </w:rPr>
        <w:t>§</w:t>
      </w:r>
      <w:r w:rsidRPr="00803CEF">
        <w:rPr>
          <w:sz w:val="20"/>
          <w:szCs w:val="20"/>
        </w:rPr>
        <w:t xml:space="preserve">276c and 18 U.S.C. </w:t>
      </w:r>
      <w:r>
        <w:rPr>
          <w:rFonts w:cstheme="minorHAnsi"/>
          <w:sz w:val="20"/>
          <w:szCs w:val="20"/>
        </w:rPr>
        <w:t>§§</w:t>
      </w:r>
      <w:r w:rsidRPr="00803CEF">
        <w:rPr>
          <w:sz w:val="20"/>
          <w:szCs w:val="20"/>
        </w:rPr>
        <w:t xml:space="preserve">874) and the Contract Work Hours and Safety Standards Act (40 U.S.C. </w:t>
      </w:r>
      <w:r>
        <w:rPr>
          <w:rFonts w:cstheme="minorHAnsi"/>
          <w:sz w:val="20"/>
          <w:szCs w:val="20"/>
        </w:rPr>
        <w:t>§§</w:t>
      </w:r>
      <w:r w:rsidRPr="00803CEF">
        <w:rPr>
          <w:sz w:val="20"/>
          <w:szCs w:val="20"/>
        </w:rPr>
        <w:t xml:space="preserve"> 327-333), regarding labor standards for federally assisted construction </w:t>
      </w:r>
      <w:proofErr w:type="spellStart"/>
      <w:r w:rsidRPr="00803CEF">
        <w:rPr>
          <w:sz w:val="20"/>
          <w:szCs w:val="20"/>
        </w:rPr>
        <w:t>subagreements</w:t>
      </w:r>
      <w:proofErr w:type="spellEnd"/>
      <w:r w:rsidRPr="00803CEF">
        <w:rPr>
          <w:sz w:val="20"/>
          <w:szCs w:val="20"/>
        </w:rPr>
        <w:t>.</w:t>
      </w:r>
    </w:p>
    <w:p w:rsidR="000A3C9D" w:rsidRPr="00803CEF" w:rsidRDefault="000A3C9D" w:rsidP="000A3C9D">
      <w:pPr>
        <w:pStyle w:val="ListParagraph"/>
        <w:numPr>
          <w:ilvl w:val="0"/>
          <w:numId w:val="9"/>
        </w:numPr>
        <w:spacing w:after="0"/>
        <w:rPr>
          <w:sz w:val="20"/>
          <w:szCs w:val="20"/>
        </w:rPr>
      </w:pPr>
      <w:r w:rsidRPr="00803CEF">
        <w:rPr>
          <w:sz w:val="20"/>
          <w:szCs w:val="20"/>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cstheme="minorHAnsi"/>
          <w:sz w:val="20"/>
          <w:szCs w:val="20"/>
        </w:rPr>
        <w:t>§§</w:t>
      </w:r>
      <w:r w:rsidRPr="00803CEF">
        <w:rPr>
          <w:sz w:val="20"/>
          <w:szCs w:val="20"/>
        </w:rPr>
        <w:t xml:space="preserve">1451 et seq.); (f) conformity of Federal actions to State (Clear Air) Implementation Plans under Section 176(c) of the Clear Air Act of 1955, as amended (42 U.S.C. </w:t>
      </w:r>
      <w:r>
        <w:rPr>
          <w:rFonts w:cstheme="minorHAnsi"/>
          <w:sz w:val="20"/>
          <w:szCs w:val="20"/>
        </w:rPr>
        <w:t>§§</w:t>
      </w:r>
      <w:r w:rsidRPr="00803CEF">
        <w:rPr>
          <w:sz w:val="20"/>
          <w:szCs w:val="20"/>
        </w:rPr>
        <w:t>7401 et seq.); (g) protection of underground sources of drinking water under the Safe Drinking Water Act of 1974, as amended, (P.L. 93-523); and (h) protection of endangered species under the Endangered Species Act of 1973, as amended, (P.L. 93-205).</w:t>
      </w:r>
    </w:p>
    <w:p w:rsidR="000A3C9D" w:rsidRPr="007D1B93" w:rsidRDefault="000A3C9D" w:rsidP="000A3C9D">
      <w:pPr>
        <w:spacing w:after="0"/>
        <w:rPr>
          <w:vanish/>
          <w:sz w:val="20"/>
          <w:szCs w:val="20"/>
        </w:rPr>
      </w:pP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the Wild and Scenic Rivers Act of 1968 (16 U.S.C. </w:t>
      </w:r>
      <w:r>
        <w:rPr>
          <w:rFonts w:cstheme="minorHAnsi"/>
          <w:sz w:val="20"/>
          <w:szCs w:val="20"/>
        </w:rPr>
        <w:t>§§</w:t>
      </w:r>
      <w:r w:rsidRPr="00803CEF">
        <w:rPr>
          <w:sz w:val="20"/>
          <w:szCs w:val="20"/>
        </w:rPr>
        <w:t>1721 et seq.) related to protecting components or potential components of the national wild and scenic rivers system.</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assist the awarding agency in assuring compliance with Section 106 of the National Historic Preservation Act of 1966, as amended (16 U.S.C. </w:t>
      </w:r>
      <w:r>
        <w:rPr>
          <w:rFonts w:cstheme="minorHAnsi"/>
          <w:sz w:val="20"/>
          <w:szCs w:val="20"/>
        </w:rPr>
        <w:t>§</w:t>
      </w:r>
      <w:r w:rsidRPr="00803CEF">
        <w:rPr>
          <w:sz w:val="20"/>
          <w:szCs w:val="20"/>
        </w:rPr>
        <w:t xml:space="preserve">470), EO 11593 (identification and protection of historic properties), and the Archaeological and Historic Preservation Act of 1974 (16 U.S.C. </w:t>
      </w:r>
      <w:r>
        <w:rPr>
          <w:rFonts w:cstheme="minorHAnsi"/>
          <w:sz w:val="20"/>
          <w:szCs w:val="20"/>
        </w:rPr>
        <w:t>§§</w:t>
      </w:r>
      <w:r w:rsidRPr="00803CEF">
        <w:rPr>
          <w:sz w:val="20"/>
          <w:szCs w:val="20"/>
        </w:rPr>
        <w:t>469a-1 et seq.).</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P.L. 93-348 regarding the protection of human subjects involved in research, development, and related activities supported by this award of assistance. </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the Laboratory Animal Welfare Act of 1966 (P.L. 89-544, as amended, 7 U.S.C. </w:t>
      </w:r>
      <w:r>
        <w:rPr>
          <w:rFonts w:cstheme="minorHAnsi"/>
          <w:sz w:val="20"/>
          <w:szCs w:val="20"/>
        </w:rPr>
        <w:t>§§</w:t>
      </w:r>
      <w:r w:rsidRPr="00803CEF">
        <w:rPr>
          <w:sz w:val="20"/>
          <w:szCs w:val="20"/>
        </w:rPr>
        <w:t>2131 et seq.) pertaining to the care, handling, and treatment of warm blooded animals held for research, teaching, or other activities supported by this award of assistance.</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comply with the Lead-Based Paint Poisoning Prevention Act (42 U.S.C. </w:t>
      </w:r>
      <w:r>
        <w:rPr>
          <w:rFonts w:cstheme="minorHAnsi"/>
          <w:sz w:val="20"/>
          <w:szCs w:val="20"/>
        </w:rPr>
        <w:t>§§</w:t>
      </w:r>
      <w:r w:rsidRPr="00803CEF">
        <w:rPr>
          <w:sz w:val="20"/>
          <w:szCs w:val="20"/>
        </w:rPr>
        <w:t>4801 et seq.) which prohibits the use of lead- based paint in construction or rehabilitation of residence structures.</w:t>
      </w:r>
    </w:p>
    <w:p w:rsidR="000A3C9D" w:rsidRPr="00803CEF" w:rsidRDefault="000A3C9D" w:rsidP="000A3C9D">
      <w:pPr>
        <w:pStyle w:val="ListParagraph"/>
        <w:numPr>
          <w:ilvl w:val="0"/>
          <w:numId w:val="9"/>
        </w:numPr>
        <w:spacing w:after="0"/>
        <w:rPr>
          <w:sz w:val="20"/>
          <w:szCs w:val="20"/>
        </w:rPr>
      </w:pPr>
      <w:r w:rsidRPr="00803CEF">
        <w:rPr>
          <w:sz w:val="20"/>
          <w:szCs w:val="20"/>
        </w:rPr>
        <w:t xml:space="preserve">Will cause to be performed the required financial and compliance audits in accordance with the Single Audit Act Amendments of 1996 and OMB Circular No. A-133, </w:t>
      </w:r>
      <w:r>
        <w:rPr>
          <w:rFonts w:cstheme="minorHAnsi"/>
          <w:sz w:val="20"/>
          <w:szCs w:val="20"/>
        </w:rPr>
        <w:t>§</w:t>
      </w:r>
      <w:r w:rsidRPr="00803CEF">
        <w:rPr>
          <w:sz w:val="20"/>
          <w:szCs w:val="20"/>
        </w:rPr>
        <w:t>Audits of States, Local Governments, and Non-Profit Organizations</w:t>
      </w:r>
      <w:proofErr w:type="gramStart"/>
      <w:r w:rsidRPr="00803CEF">
        <w:rPr>
          <w:sz w:val="20"/>
          <w:szCs w:val="20"/>
        </w:rPr>
        <w:t>.</w:t>
      </w:r>
      <w:r>
        <w:rPr>
          <w:rFonts w:cstheme="minorHAnsi"/>
          <w:sz w:val="20"/>
          <w:szCs w:val="20"/>
        </w:rPr>
        <w:t>§</w:t>
      </w:r>
      <w:proofErr w:type="gramEnd"/>
    </w:p>
    <w:p w:rsidR="000A3C9D" w:rsidRPr="00803CEF" w:rsidRDefault="000A3C9D" w:rsidP="000A3C9D">
      <w:pPr>
        <w:pStyle w:val="ListParagraph"/>
        <w:numPr>
          <w:ilvl w:val="0"/>
          <w:numId w:val="9"/>
        </w:numPr>
        <w:spacing w:after="0"/>
        <w:rPr>
          <w:sz w:val="20"/>
          <w:szCs w:val="20"/>
        </w:rPr>
      </w:pPr>
      <w:r w:rsidRPr="00803CEF">
        <w:rPr>
          <w:sz w:val="20"/>
          <w:szCs w:val="20"/>
        </w:rPr>
        <w:t>Will comply with all applicable requirements of all other Federal laws, executive orders, regulations and policies governing this program.</w:t>
      </w:r>
    </w:p>
    <w:p w:rsidR="000A3C9D" w:rsidRPr="007D1B93" w:rsidRDefault="000A3C9D" w:rsidP="000A3C9D">
      <w:pPr>
        <w:spacing w:after="0"/>
        <w:rPr>
          <w:sz w:val="20"/>
          <w:szCs w:val="20"/>
        </w:rPr>
      </w:pPr>
    </w:p>
    <w:p w:rsidR="000A3C9D" w:rsidRPr="00F9539F" w:rsidRDefault="000A3C9D" w:rsidP="000A3C9D">
      <w:pPr>
        <w:pStyle w:val="NoSpacing"/>
      </w:pPr>
    </w:p>
    <w:p w:rsidR="000A3C9D" w:rsidRPr="00E95CDA" w:rsidRDefault="000A3C9D" w:rsidP="0065155B">
      <w:pPr>
        <w:ind w:left="-720"/>
      </w:pPr>
    </w:p>
    <w:sectPr w:rsidR="000A3C9D" w:rsidRPr="00E95CDA" w:rsidSect="000A3C9D">
      <w:headerReference w:type="even" r:id="rId33"/>
      <w:headerReference w:type="default" r:id="rId34"/>
      <w:headerReference w:type="first" r:id="rId35"/>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07" w:rsidRDefault="00795407" w:rsidP="00A500CB">
      <w:pPr>
        <w:spacing w:after="0" w:line="240" w:lineRule="auto"/>
      </w:pPr>
      <w:r>
        <w:separator/>
      </w:r>
    </w:p>
  </w:endnote>
  <w:endnote w:type="continuationSeparator" w:id="0">
    <w:p w:rsidR="00795407" w:rsidRDefault="00795407" w:rsidP="00A5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07" w:rsidRDefault="00795407" w:rsidP="00A500CB">
      <w:pPr>
        <w:spacing w:after="0" w:line="240" w:lineRule="auto"/>
      </w:pPr>
      <w:r>
        <w:separator/>
      </w:r>
    </w:p>
  </w:footnote>
  <w:footnote w:type="continuationSeparator" w:id="0">
    <w:p w:rsidR="00795407" w:rsidRDefault="00795407" w:rsidP="00A50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CB" w:rsidRDefault="007954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312658" o:spid="_x0000_s2050" type="#_x0000_t75" style="position:absolute;margin-left:0;margin-top:0;width:612pt;height:11in;z-index:-251657216;mso-position-horizontal:center;mso-position-horizontal-relative:margin;mso-position-vertical:center;mso-position-vertical-relative:margin" o:allowincell="f">
          <v:imagedata r:id="rId1" o:title="CTE_Letterhead_WithoutText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CB" w:rsidRDefault="007954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312659" o:spid="_x0000_s2051" type="#_x0000_t75" style="position:absolute;margin-left:-1in;margin-top:-107.25pt;width:612pt;height:11in;z-index:-251656192;mso-position-horizontal-relative:margin;mso-position-vertical-relative:margin" o:allowincell="f">
          <v:imagedata r:id="rId1" o:title="CTE_Letterhead_WithoutText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CB" w:rsidRDefault="007954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312657" o:spid="_x0000_s2049" type="#_x0000_t75" style="position:absolute;margin-left:0;margin-top:0;width:612pt;height:11in;z-index:-251658240;mso-position-horizontal:center;mso-position-horizontal-relative:margin;mso-position-vertical:center;mso-position-vertical-relative:margin" o:allowincell="f">
          <v:imagedata r:id="rId1" o:title="CTE_Letterhead_WithoutText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2B9"/>
    <w:multiLevelType w:val="hybridMultilevel"/>
    <w:tmpl w:val="0B8E91D2"/>
    <w:lvl w:ilvl="0" w:tplc="0B9EEC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07F2E"/>
    <w:multiLevelType w:val="hybridMultilevel"/>
    <w:tmpl w:val="8AAC8E06"/>
    <w:lvl w:ilvl="0" w:tplc="0B9EEC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77551"/>
    <w:multiLevelType w:val="hybridMultilevel"/>
    <w:tmpl w:val="0AF83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11D44"/>
    <w:multiLevelType w:val="hybridMultilevel"/>
    <w:tmpl w:val="C582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962B3"/>
    <w:multiLevelType w:val="hybridMultilevel"/>
    <w:tmpl w:val="0474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072A9C"/>
    <w:multiLevelType w:val="hybridMultilevel"/>
    <w:tmpl w:val="98E6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97394"/>
    <w:multiLevelType w:val="hybridMultilevel"/>
    <w:tmpl w:val="E5D2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70510"/>
    <w:multiLevelType w:val="hybridMultilevel"/>
    <w:tmpl w:val="466286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33332"/>
    <w:multiLevelType w:val="hybridMultilevel"/>
    <w:tmpl w:val="6072589C"/>
    <w:lvl w:ilvl="0" w:tplc="2CC03E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8"/>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63"/>
    <w:rsid w:val="00004B58"/>
    <w:rsid w:val="000A3C9D"/>
    <w:rsid w:val="000D6F27"/>
    <w:rsid w:val="001877A8"/>
    <w:rsid w:val="00187FB1"/>
    <w:rsid w:val="001F079A"/>
    <w:rsid w:val="002725F6"/>
    <w:rsid w:val="002A59DD"/>
    <w:rsid w:val="00321BD0"/>
    <w:rsid w:val="0037184D"/>
    <w:rsid w:val="003F71A4"/>
    <w:rsid w:val="005604F5"/>
    <w:rsid w:val="00636DD8"/>
    <w:rsid w:val="00641923"/>
    <w:rsid w:val="0065155B"/>
    <w:rsid w:val="00697BB7"/>
    <w:rsid w:val="007250AE"/>
    <w:rsid w:val="00795407"/>
    <w:rsid w:val="008C010C"/>
    <w:rsid w:val="00A500CB"/>
    <w:rsid w:val="00B56563"/>
    <w:rsid w:val="00E95CDA"/>
    <w:rsid w:val="00ED42FC"/>
    <w:rsid w:val="00F35060"/>
    <w:rsid w:val="00F62BA4"/>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63"/>
    <w:rPr>
      <w:rFonts w:eastAsiaTheme="minorEastAsia"/>
    </w:rPr>
  </w:style>
  <w:style w:type="paragraph" w:styleId="Heading1">
    <w:name w:val="heading 1"/>
    <w:basedOn w:val="Normal"/>
    <w:next w:val="Normal"/>
    <w:link w:val="Heading1Char"/>
    <w:uiPriority w:val="9"/>
    <w:qFormat/>
    <w:rsid w:val="000A3C9D"/>
    <w:pPr>
      <w:keepNext/>
      <w:keepLines/>
      <w:spacing w:before="480" w:after="0"/>
      <w:outlineLvl w:val="0"/>
    </w:pPr>
    <w:rPr>
      <w:rFonts w:asciiTheme="majorHAnsi" w:eastAsiaTheme="majorEastAsia" w:hAnsiTheme="majorHAnsi" w:cstheme="majorBidi"/>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0CB"/>
  </w:style>
  <w:style w:type="paragraph" w:styleId="Footer">
    <w:name w:val="footer"/>
    <w:basedOn w:val="Normal"/>
    <w:link w:val="FooterChar"/>
    <w:uiPriority w:val="99"/>
    <w:unhideWhenUsed/>
    <w:rsid w:val="00A5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0CB"/>
  </w:style>
  <w:style w:type="paragraph" w:styleId="Title">
    <w:name w:val="Title"/>
    <w:basedOn w:val="Normal"/>
    <w:next w:val="Normal"/>
    <w:link w:val="TitleChar"/>
    <w:uiPriority w:val="10"/>
    <w:qFormat/>
    <w:rsid w:val="00B565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56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56563"/>
    <w:rPr>
      <w:b/>
      <w:bCs/>
    </w:rPr>
  </w:style>
  <w:style w:type="character" w:styleId="Hyperlink">
    <w:name w:val="Hyperlink"/>
    <w:basedOn w:val="DefaultParagraphFont"/>
    <w:uiPriority w:val="99"/>
    <w:unhideWhenUsed/>
    <w:rsid w:val="00B56563"/>
    <w:rPr>
      <w:color w:val="0000FF"/>
      <w:u w:val="single"/>
    </w:rPr>
  </w:style>
  <w:style w:type="paragraph" w:styleId="ListParagraph">
    <w:name w:val="List Paragraph"/>
    <w:basedOn w:val="Normal"/>
    <w:uiPriority w:val="34"/>
    <w:qFormat/>
    <w:rsid w:val="00E95CDA"/>
    <w:pPr>
      <w:ind w:left="720"/>
      <w:contextualSpacing/>
    </w:pPr>
  </w:style>
  <w:style w:type="character" w:customStyle="1" w:styleId="Heading1Char">
    <w:name w:val="Heading 1 Char"/>
    <w:basedOn w:val="DefaultParagraphFont"/>
    <w:link w:val="Heading1"/>
    <w:uiPriority w:val="9"/>
    <w:rsid w:val="000A3C9D"/>
    <w:rPr>
      <w:rFonts w:asciiTheme="majorHAnsi" w:eastAsiaTheme="majorEastAsia" w:hAnsiTheme="majorHAnsi" w:cstheme="majorBidi"/>
      <w:b/>
      <w:bCs/>
      <w:color w:val="1F497D" w:themeColor="text2"/>
      <w:sz w:val="28"/>
      <w:szCs w:val="28"/>
    </w:rPr>
  </w:style>
  <w:style w:type="paragraph" w:styleId="Subtitle">
    <w:name w:val="Subtitle"/>
    <w:basedOn w:val="Normal"/>
    <w:next w:val="Normal"/>
    <w:link w:val="SubtitleChar"/>
    <w:uiPriority w:val="11"/>
    <w:qFormat/>
    <w:rsid w:val="000A3C9D"/>
    <w:pPr>
      <w:numPr>
        <w:ilvl w:val="1"/>
      </w:numPr>
    </w:pPr>
    <w:rPr>
      <w:rFonts w:asciiTheme="majorHAnsi" w:eastAsiaTheme="majorEastAsia" w:hAnsiTheme="majorHAnsi" w:cstheme="majorBidi"/>
      <w:i/>
      <w:iCs/>
      <w:color w:val="9BBB59" w:themeColor="accent3"/>
      <w:spacing w:val="15"/>
      <w:sz w:val="24"/>
      <w:szCs w:val="24"/>
    </w:rPr>
  </w:style>
  <w:style w:type="character" w:customStyle="1" w:styleId="SubtitleChar">
    <w:name w:val="Subtitle Char"/>
    <w:basedOn w:val="DefaultParagraphFont"/>
    <w:link w:val="Subtitle"/>
    <w:uiPriority w:val="11"/>
    <w:rsid w:val="000A3C9D"/>
    <w:rPr>
      <w:rFonts w:asciiTheme="majorHAnsi" w:eastAsiaTheme="majorEastAsia" w:hAnsiTheme="majorHAnsi" w:cstheme="majorBidi"/>
      <w:i/>
      <w:iCs/>
      <w:color w:val="9BBB59" w:themeColor="accent3"/>
      <w:spacing w:val="15"/>
      <w:sz w:val="24"/>
      <w:szCs w:val="24"/>
    </w:rPr>
  </w:style>
  <w:style w:type="paragraph" w:styleId="NoSpacing">
    <w:name w:val="No Spacing"/>
    <w:uiPriority w:val="1"/>
    <w:qFormat/>
    <w:rsid w:val="000A3C9D"/>
    <w:pPr>
      <w:spacing w:after="0" w:line="240" w:lineRule="auto"/>
    </w:pPr>
    <w:rPr>
      <w:rFonts w:eastAsiaTheme="minorEastAsia"/>
    </w:rPr>
  </w:style>
  <w:style w:type="character" w:styleId="SubtleEmphasis">
    <w:name w:val="Subtle Emphasis"/>
    <w:basedOn w:val="DefaultParagraphFont"/>
    <w:uiPriority w:val="19"/>
    <w:qFormat/>
    <w:rsid w:val="000A3C9D"/>
    <w:rPr>
      <w:i/>
      <w:iCs/>
      <w:color w:val="808080" w:themeColor="text1" w:themeTint="7F"/>
    </w:rPr>
  </w:style>
  <w:style w:type="table" w:styleId="MediumList2-Accent2">
    <w:name w:val="Medium List 2 Accent 2"/>
    <w:basedOn w:val="TableNormal"/>
    <w:uiPriority w:val="66"/>
    <w:rsid w:val="000A3C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Emphasis">
    <w:name w:val="Emphasis"/>
    <w:basedOn w:val="DefaultParagraphFont"/>
    <w:uiPriority w:val="20"/>
    <w:qFormat/>
    <w:rsid w:val="000A3C9D"/>
    <w:rPr>
      <w:i/>
      <w:iCs/>
    </w:rPr>
  </w:style>
  <w:style w:type="character" w:styleId="SubtleReference">
    <w:name w:val="Subtle Reference"/>
    <w:basedOn w:val="DefaultParagraphFont"/>
    <w:uiPriority w:val="31"/>
    <w:qFormat/>
    <w:rsid w:val="000A3C9D"/>
    <w:rPr>
      <w:smallCaps/>
      <w:color w:val="C0504D" w:themeColor="accent2"/>
      <w:u w:val="single"/>
    </w:rPr>
  </w:style>
  <w:style w:type="table" w:styleId="MediumList2-Accent1">
    <w:name w:val="Medium List 2 Accent 1"/>
    <w:basedOn w:val="TableNormal"/>
    <w:uiPriority w:val="66"/>
    <w:rsid w:val="000A3C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36D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6419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63"/>
    <w:rPr>
      <w:rFonts w:eastAsiaTheme="minorEastAsia"/>
    </w:rPr>
  </w:style>
  <w:style w:type="paragraph" w:styleId="Heading1">
    <w:name w:val="heading 1"/>
    <w:basedOn w:val="Normal"/>
    <w:next w:val="Normal"/>
    <w:link w:val="Heading1Char"/>
    <w:uiPriority w:val="9"/>
    <w:qFormat/>
    <w:rsid w:val="000A3C9D"/>
    <w:pPr>
      <w:keepNext/>
      <w:keepLines/>
      <w:spacing w:before="480" w:after="0"/>
      <w:outlineLvl w:val="0"/>
    </w:pPr>
    <w:rPr>
      <w:rFonts w:asciiTheme="majorHAnsi" w:eastAsiaTheme="majorEastAsia" w:hAnsiTheme="majorHAnsi" w:cstheme="majorBidi"/>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0CB"/>
  </w:style>
  <w:style w:type="paragraph" w:styleId="Footer">
    <w:name w:val="footer"/>
    <w:basedOn w:val="Normal"/>
    <w:link w:val="FooterChar"/>
    <w:uiPriority w:val="99"/>
    <w:unhideWhenUsed/>
    <w:rsid w:val="00A5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0CB"/>
  </w:style>
  <w:style w:type="paragraph" w:styleId="Title">
    <w:name w:val="Title"/>
    <w:basedOn w:val="Normal"/>
    <w:next w:val="Normal"/>
    <w:link w:val="TitleChar"/>
    <w:uiPriority w:val="10"/>
    <w:qFormat/>
    <w:rsid w:val="00B565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56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B56563"/>
    <w:rPr>
      <w:b/>
      <w:bCs/>
    </w:rPr>
  </w:style>
  <w:style w:type="character" w:styleId="Hyperlink">
    <w:name w:val="Hyperlink"/>
    <w:basedOn w:val="DefaultParagraphFont"/>
    <w:uiPriority w:val="99"/>
    <w:unhideWhenUsed/>
    <w:rsid w:val="00B56563"/>
    <w:rPr>
      <w:color w:val="0000FF"/>
      <w:u w:val="single"/>
    </w:rPr>
  </w:style>
  <w:style w:type="paragraph" w:styleId="ListParagraph">
    <w:name w:val="List Paragraph"/>
    <w:basedOn w:val="Normal"/>
    <w:uiPriority w:val="34"/>
    <w:qFormat/>
    <w:rsid w:val="00E95CDA"/>
    <w:pPr>
      <w:ind w:left="720"/>
      <w:contextualSpacing/>
    </w:pPr>
  </w:style>
  <w:style w:type="character" w:customStyle="1" w:styleId="Heading1Char">
    <w:name w:val="Heading 1 Char"/>
    <w:basedOn w:val="DefaultParagraphFont"/>
    <w:link w:val="Heading1"/>
    <w:uiPriority w:val="9"/>
    <w:rsid w:val="000A3C9D"/>
    <w:rPr>
      <w:rFonts w:asciiTheme="majorHAnsi" w:eastAsiaTheme="majorEastAsia" w:hAnsiTheme="majorHAnsi" w:cstheme="majorBidi"/>
      <w:b/>
      <w:bCs/>
      <w:color w:val="1F497D" w:themeColor="text2"/>
      <w:sz w:val="28"/>
      <w:szCs w:val="28"/>
    </w:rPr>
  </w:style>
  <w:style w:type="paragraph" w:styleId="Subtitle">
    <w:name w:val="Subtitle"/>
    <w:basedOn w:val="Normal"/>
    <w:next w:val="Normal"/>
    <w:link w:val="SubtitleChar"/>
    <w:uiPriority w:val="11"/>
    <w:qFormat/>
    <w:rsid w:val="000A3C9D"/>
    <w:pPr>
      <w:numPr>
        <w:ilvl w:val="1"/>
      </w:numPr>
    </w:pPr>
    <w:rPr>
      <w:rFonts w:asciiTheme="majorHAnsi" w:eastAsiaTheme="majorEastAsia" w:hAnsiTheme="majorHAnsi" w:cstheme="majorBidi"/>
      <w:i/>
      <w:iCs/>
      <w:color w:val="9BBB59" w:themeColor="accent3"/>
      <w:spacing w:val="15"/>
      <w:sz w:val="24"/>
      <w:szCs w:val="24"/>
    </w:rPr>
  </w:style>
  <w:style w:type="character" w:customStyle="1" w:styleId="SubtitleChar">
    <w:name w:val="Subtitle Char"/>
    <w:basedOn w:val="DefaultParagraphFont"/>
    <w:link w:val="Subtitle"/>
    <w:uiPriority w:val="11"/>
    <w:rsid w:val="000A3C9D"/>
    <w:rPr>
      <w:rFonts w:asciiTheme="majorHAnsi" w:eastAsiaTheme="majorEastAsia" w:hAnsiTheme="majorHAnsi" w:cstheme="majorBidi"/>
      <w:i/>
      <w:iCs/>
      <w:color w:val="9BBB59" w:themeColor="accent3"/>
      <w:spacing w:val="15"/>
      <w:sz w:val="24"/>
      <w:szCs w:val="24"/>
    </w:rPr>
  </w:style>
  <w:style w:type="paragraph" w:styleId="NoSpacing">
    <w:name w:val="No Spacing"/>
    <w:uiPriority w:val="1"/>
    <w:qFormat/>
    <w:rsid w:val="000A3C9D"/>
    <w:pPr>
      <w:spacing w:after="0" w:line="240" w:lineRule="auto"/>
    </w:pPr>
    <w:rPr>
      <w:rFonts w:eastAsiaTheme="minorEastAsia"/>
    </w:rPr>
  </w:style>
  <w:style w:type="character" w:styleId="SubtleEmphasis">
    <w:name w:val="Subtle Emphasis"/>
    <w:basedOn w:val="DefaultParagraphFont"/>
    <w:uiPriority w:val="19"/>
    <w:qFormat/>
    <w:rsid w:val="000A3C9D"/>
    <w:rPr>
      <w:i/>
      <w:iCs/>
      <w:color w:val="808080" w:themeColor="text1" w:themeTint="7F"/>
    </w:rPr>
  </w:style>
  <w:style w:type="table" w:styleId="MediumList2-Accent2">
    <w:name w:val="Medium List 2 Accent 2"/>
    <w:basedOn w:val="TableNormal"/>
    <w:uiPriority w:val="66"/>
    <w:rsid w:val="000A3C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Emphasis">
    <w:name w:val="Emphasis"/>
    <w:basedOn w:val="DefaultParagraphFont"/>
    <w:uiPriority w:val="20"/>
    <w:qFormat/>
    <w:rsid w:val="000A3C9D"/>
    <w:rPr>
      <w:i/>
      <w:iCs/>
    </w:rPr>
  </w:style>
  <w:style w:type="character" w:styleId="SubtleReference">
    <w:name w:val="Subtle Reference"/>
    <w:basedOn w:val="DefaultParagraphFont"/>
    <w:uiPriority w:val="31"/>
    <w:qFormat/>
    <w:rsid w:val="000A3C9D"/>
    <w:rPr>
      <w:smallCaps/>
      <w:color w:val="C0504D" w:themeColor="accent2"/>
      <w:u w:val="single"/>
    </w:rPr>
  </w:style>
  <w:style w:type="table" w:styleId="MediumList2-Accent1">
    <w:name w:val="Medium List 2 Accent 1"/>
    <w:basedOn w:val="TableNormal"/>
    <w:uiPriority w:val="66"/>
    <w:rsid w:val="000A3C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36DD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6419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9582">
      <w:bodyDiv w:val="1"/>
      <w:marLeft w:val="0"/>
      <w:marRight w:val="0"/>
      <w:marTop w:val="0"/>
      <w:marBottom w:val="0"/>
      <w:divBdr>
        <w:top w:val="none" w:sz="0" w:space="0" w:color="auto"/>
        <w:left w:val="none" w:sz="0" w:space="0" w:color="auto"/>
        <w:bottom w:val="none" w:sz="0" w:space="0" w:color="auto"/>
        <w:right w:val="none" w:sz="0" w:space="0" w:color="auto"/>
      </w:divBdr>
    </w:div>
    <w:div w:id="1727413809">
      <w:bodyDiv w:val="1"/>
      <w:marLeft w:val="0"/>
      <w:marRight w:val="0"/>
      <w:marTop w:val="0"/>
      <w:marBottom w:val="0"/>
      <w:divBdr>
        <w:top w:val="none" w:sz="0" w:space="0" w:color="auto"/>
        <w:left w:val="none" w:sz="0" w:space="0" w:color="auto"/>
        <w:bottom w:val="none" w:sz="0" w:space="0" w:color="auto"/>
        <w:right w:val="none" w:sz="0" w:space="0" w:color="auto"/>
      </w:divBdr>
    </w:div>
    <w:div w:id="1915428719">
      <w:bodyDiv w:val="1"/>
      <w:marLeft w:val="0"/>
      <w:marRight w:val="0"/>
      <w:marTop w:val="0"/>
      <w:marBottom w:val="0"/>
      <w:divBdr>
        <w:top w:val="none" w:sz="0" w:space="0" w:color="auto"/>
        <w:left w:val="none" w:sz="0" w:space="0" w:color="auto"/>
        <w:bottom w:val="none" w:sz="0" w:space="0" w:color="auto"/>
        <w:right w:val="none" w:sz="0" w:space="0" w:color="auto"/>
      </w:divBdr>
    </w:div>
    <w:div w:id="19201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n.larsen@state.sd.us" TargetMode="External"/><Relationship Id="rId18" Type="http://schemas.openxmlformats.org/officeDocument/2006/relationships/hyperlink" Target="https://www.nbea.org/newsite/conferences/convention/documents/2017PreliminarySchedule_Final.pdf" TargetMode="External"/><Relationship Id="rId26" Type="http://schemas.openxmlformats.org/officeDocument/2006/relationships/hyperlink" Target="http://www.pltw.org" TargetMode="External"/><Relationship Id="rId3" Type="http://schemas.openxmlformats.org/officeDocument/2006/relationships/styles" Target="styles.xml"/><Relationship Id="rId21" Type="http://schemas.openxmlformats.org/officeDocument/2006/relationships/hyperlink" Target="http://naf.org/event/naf-next-2017"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rin.larsen@state.sd.us" TargetMode="External"/><Relationship Id="rId17" Type="http://schemas.openxmlformats.org/officeDocument/2006/relationships/hyperlink" Target="http://www.ismworkshops.com" TargetMode="External"/><Relationship Id="rId25" Type="http://schemas.openxmlformats.org/officeDocument/2006/relationships/hyperlink" Target="https://dss.sd.gov/childcare/educationalopportunities/associateproject.asp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textuallc.com/geometry-in-construction/workshops/" TargetMode="External"/><Relationship Id="rId20" Type="http://schemas.openxmlformats.org/officeDocument/2006/relationships/hyperlink" Target="http://conference.iste.org/2017/" TargetMode="External"/><Relationship Id="rId29" Type="http://schemas.openxmlformats.org/officeDocument/2006/relationships/hyperlink" Target="http://www.pltw.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e.sd.gov/octe/documents/Allowable.pdf" TargetMode="External"/><Relationship Id="rId24" Type="http://schemas.openxmlformats.org/officeDocument/2006/relationships/hyperlink" Target="https://neafcs.memberclicks.net/2017-annual-session" TargetMode="External"/><Relationship Id="rId32" Type="http://schemas.openxmlformats.org/officeDocument/2006/relationships/hyperlink" Target="https://www.ascaconferences.or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se4learning.org/index.php/professional-development/case-institute/case-institute-offerings" TargetMode="External"/><Relationship Id="rId23" Type="http://schemas.openxmlformats.org/officeDocument/2006/relationships/hyperlink" Target="https://www.chooserestaurants.org/Programs-and-Scholarships/Professional-Development/Summer-Institutes" TargetMode="External"/><Relationship Id="rId28" Type="http://schemas.openxmlformats.org/officeDocument/2006/relationships/hyperlink" Target="https://www.deca.org/amped/" TargetMode="External"/><Relationship Id="rId36" Type="http://schemas.openxmlformats.org/officeDocument/2006/relationships/fontTable" Target="fontTable.xml"/><Relationship Id="rId10" Type="http://schemas.openxmlformats.org/officeDocument/2006/relationships/hyperlink" Target="mailto:erin.larsen@state.sd.us" TargetMode="External"/><Relationship Id="rId19" Type="http://schemas.openxmlformats.org/officeDocument/2006/relationships/hyperlink" Target="https://www.gmetrix.com/Products/Products" TargetMode="External"/><Relationship Id="rId31" Type="http://schemas.openxmlformats.org/officeDocument/2006/relationships/hyperlink" Target="http://www.schoolcounselor.org/school-counselors-members/professional-development/site-based-training/rampcamp" TargetMode="External"/><Relationship Id="rId4" Type="http://schemas.microsoft.com/office/2007/relationships/stylesWithEffects" Target="stylesWithEffects.xml"/><Relationship Id="rId9" Type="http://schemas.openxmlformats.org/officeDocument/2006/relationships/hyperlink" Target="mailto:erin.larsen@state.sd.us" TargetMode="External"/><Relationship Id="rId14" Type="http://schemas.openxmlformats.org/officeDocument/2006/relationships/hyperlink" Target="mailto:erin.larsen@state.sd.us" TargetMode="External"/><Relationship Id="rId22" Type="http://schemas.openxmlformats.org/officeDocument/2006/relationships/hyperlink" Target="http://www.pltw.org" TargetMode="External"/><Relationship Id="rId27" Type="http://schemas.openxmlformats.org/officeDocument/2006/relationships/hyperlink" Target="http://www.contextuallc.com/amped/workshops/" TargetMode="External"/><Relationship Id="rId30" Type="http://schemas.openxmlformats.org/officeDocument/2006/relationships/hyperlink" Target="http://www.nacatconference.org/index.php/attend-main"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F12533\Desktop\CTE%20Letterhead-No%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7742-C457-4195-A168-24B9A7A5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CTE Letterhead-No Footer.dotx</Template>
  <TotalTime>0</TotalTime>
  <Pages>1</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Erin  (DOE)</dc:creator>
  <cp:lastModifiedBy>Kodi Odean-Carlin</cp:lastModifiedBy>
  <cp:revision>1</cp:revision>
  <dcterms:created xsi:type="dcterms:W3CDTF">2017-03-03T11:37:00Z</dcterms:created>
  <dcterms:modified xsi:type="dcterms:W3CDTF">2017-03-03T11:37:00Z</dcterms:modified>
</cp:coreProperties>
</file>