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D4" w:rsidRDefault="001371AB" w:rsidP="00B90196">
      <w:pPr>
        <w:jc w:val="center"/>
        <w:rPr>
          <w:b/>
          <w:sz w:val="28"/>
          <w:szCs w:val="28"/>
        </w:rPr>
      </w:pPr>
      <w:bookmarkStart w:id="0" w:name="_GoBack"/>
      <w:bookmarkEnd w:id="0"/>
      <w:r>
        <w:rPr>
          <w:rFonts w:ascii="Palatino Linotype" w:hAnsi="Palatino Linotype"/>
          <w:noProof/>
        </w:rPr>
        <w:drawing>
          <wp:inline distT="0" distB="0" distL="0" distR="0">
            <wp:extent cx="6400800" cy="1171575"/>
            <wp:effectExtent l="0" t="0" r="0" b="9525"/>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171575"/>
                    </a:xfrm>
                    <a:prstGeom prst="rect">
                      <a:avLst/>
                    </a:prstGeom>
                    <a:noFill/>
                    <a:ln>
                      <a:noFill/>
                    </a:ln>
                  </pic:spPr>
                </pic:pic>
              </a:graphicData>
            </a:graphic>
          </wp:inline>
        </w:drawing>
      </w:r>
    </w:p>
    <w:p w:rsidR="00BA10D4" w:rsidRDefault="00BA10D4" w:rsidP="00BA10D4">
      <w:pPr>
        <w:rPr>
          <w:b/>
          <w:sz w:val="28"/>
          <w:szCs w:val="28"/>
        </w:rPr>
      </w:pPr>
    </w:p>
    <w:p w:rsidR="00B90196" w:rsidRPr="00BA10D4" w:rsidRDefault="00B90196" w:rsidP="00B90196">
      <w:pPr>
        <w:jc w:val="center"/>
        <w:rPr>
          <w:rFonts w:ascii="Verdana" w:hAnsi="Verdana"/>
          <w:b/>
          <w:sz w:val="28"/>
          <w:szCs w:val="28"/>
        </w:rPr>
      </w:pPr>
      <w:r w:rsidRPr="00BA10D4">
        <w:rPr>
          <w:rFonts w:ascii="Verdana" w:hAnsi="Verdana"/>
          <w:b/>
          <w:sz w:val="28"/>
          <w:szCs w:val="28"/>
        </w:rPr>
        <w:t>South Dakota Determination Criteria</w:t>
      </w:r>
    </w:p>
    <w:p w:rsidR="00C81D81" w:rsidRPr="00BA10D4" w:rsidRDefault="00C81D81">
      <w:pPr>
        <w:rPr>
          <w:rFonts w:ascii="Verdana" w:hAnsi="Verdana"/>
          <w:sz w:val="22"/>
          <w:szCs w:val="22"/>
        </w:rPr>
      </w:pPr>
    </w:p>
    <w:p w:rsidR="00C81D81" w:rsidRPr="00BA10D4" w:rsidRDefault="00C81D81">
      <w:pPr>
        <w:rPr>
          <w:rFonts w:ascii="Verdana" w:hAnsi="Verdana"/>
          <w:sz w:val="22"/>
          <w:szCs w:val="22"/>
        </w:rPr>
      </w:pPr>
      <w:r w:rsidRPr="00BA10D4">
        <w:rPr>
          <w:rFonts w:ascii="Verdana" w:hAnsi="Verdana"/>
          <w:sz w:val="22"/>
          <w:szCs w:val="22"/>
        </w:rPr>
        <w:t xml:space="preserve">Determination is based on the required components by </w:t>
      </w:r>
      <w:r w:rsidR="00953EE8" w:rsidRPr="00BA10D4">
        <w:rPr>
          <w:rFonts w:ascii="Verdana" w:hAnsi="Verdana"/>
          <w:sz w:val="22"/>
          <w:szCs w:val="22"/>
        </w:rPr>
        <w:t xml:space="preserve">the </w:t>
      </w:r>
      <w:r w:rsidRPr="00BA10D4">
        <w:rPr>
          <w:rFonts w:ascii="Verdana" w:hAnsi="Verdana"/>
          <w:sz w:val="22"/>
          <w:szCs w:val="22"/>
        </w:rPr>
        <w:t>United States Office of Special Education Programs (OSEP) which includes:</w:t>
      </w:r>
    </w:p>
    <w:p w:rsidR="00C81D81" w:rsidRPr="00BA10D4" w:rsidRDefault="00C81D81" w:rsidP="00C81D81">
      <w:pPr>
        <w:numPr>
          <w:ilvl w:val="0"/>
          <w:numId w:val="1"/>
        </w:numPr>
        <w:rPr>
          <w:rFonts w:ascii="Verdana" w:hAnsi="Verdana"/>
          <w:sz w:val="22"/>
          <w:szCs w:val="22"/>
        </w:rPr>
      </w:pPr>
      <w:r w:rsidRPr="00BA10D4">
        <w:rPr>
          <w:rFonts w:ascii="Verdana" w:hAnsi="Verdana"/>
          <w:sz w:val="22"/>
          <w:szCs w:val="22"/>
        </w:rPr>
        <w:t>Compliance Indicators 9, 10, 11, 12, 13, and 15</w:t>
      </w:r>
    </w:p>
    <w:p w:rsidR="00C81D81" w:rsidRPr="00BA10D4" w:rsidRDefault="00C81D81" w:rsidP="00C81D81">
      <w:pPr>
        <w:numPr>
          <w:ilvl w:val="0"/>
          <w:numId w:val="1"/>
        </w:numPr>
        <w:rPr>
          <w:rFonts w:ascii="Verdana" w:hAnsi="Verdana"/>
          <w:sz w:val="22"/>
          <w:szCs w:val="22"/>
        </w:rPr>
      </w:pPr>
      <w:r w:rsidRPr="00BA10D4">
        <w:rPr>
          <w:rFonts w:ascii="Verdana" w:hAnsi="Verdana"/>
          <w:sz w:val="22"/>
          <w:szCs w:val="22"/>
        </w:rPr>
        <w:t>Valid, Reliable, and Timely Data</w:t>
      </w:r>
    </w:p>
    <w:p w:rsidR="00C81D81" w:rsidRPr="00BA10D4" w:rsidRDefault="00C81D81" w:rsidP="00C81D81">
      <w:pPr>
        <w:numPr>
          <w:ilvl w:val="0"/>
          <w:numId w:val="1"/>
        </w:numPr>
        <w:rPr>
          <w:rFonts w:ascii="Verdana" w:hAnsi="Verdana"/>
          <w:sz w:val="22"/>
          <w:szCs w:val="22"/>
        </w:rPr>
      </w:pPr>
      <w:r w:rsidRPr="00BA10D4">
        <w:rPr>
          <w:rFonts w:ascii="Verdana" w:hAnsi="Verdana"/>
          <w:sz w:val="22"/>
          <w:szCs w:val="22"/>
        </w:rPr>
        <w:t>Uncorrected Non-Compliance</w:t>
      </w:r>
    </w:p>
    <w:p w:rsidR="00C81D81" w:rsidRPr="00BA10D4" w:rsidRDefault="00C81D81" w:rsidP="00C81D81">
      <w:pPr>
        <w:numPr>
          <w:ilvl w:val="0"/>
          <w:numId w:val="1"/>
        </w:numPr>
        <w:rPr>
          <w:rFonts w:ascii="Verdana" w:hAnsi="Verdana"/>
          <w:sz w:val="22"/>
          <w:szCs w:val="22"/>
        </w:rPr>
      </w:pPr>
      <w:r w:rsidRPr="00BA10D4">
        <w:rPr>
          <w:rFonts w:ascii="Verdana" w:hAnsi="Verdana"/>
          <w:sz w:val="22"/>
          <w:szCs w:val="22"/>
        </w:rPr>
        <w:t>Any Audit Findings</w:t>
      </w:r>
    </w:p>
    <w:p w:rsidR="00C81D81" w:rsidRPr="00BA10D4" w:rsidRDefault="00C81D81" w:rsidP="00C81D81">
      <w:pPr>
        <w:rPr>
          <w:rFonts w:ascii="Verdana" w:hAnsi="Verdana"/>
          <w:sz w:val="22"/>
          <w:szCs w:val="22"/>
        </w:rPr>
      </w:pPr>
    </w:p>
    <w:p w:rsidR="00C81D81" w:rsidRPr="00BA10D4" w:rsidRDefault="00C81D81" w:rsidP="00C81D81">
      <w:pPr>
        <w:rPr>
          <w:rFonts w:ascii="Verdana" w:hAnsi="Verdana"/>
          <w:sz w:val="22"/>
          <w:szCs w:val="22"/>
        </w:rPr>
      </w:pPr>
      <w:r w:rsidRPr="00BA10D4">
        <w:rPr>
          <w:rFonts w:ascii="Verdana" w:hAnsi="Verdana"/>
          <w:sz w:val="22"/>
          <w:szCs w:val="22"/>
        </w:rPr>
        <w:t>Since OSEP has allowed State Education Agenc</w:t>
      </w:r>
      <w:r w:rsidR="00953EE8" w:rsidRPr="00BA10D4">
        <w:rPr>
          <w:rFonts w:ascii="Verdana" w:hAnsi="Verdana"/>
          <w:sz w:val="22"/>
          <w:szCs w:val="22"/>
        </w:rPr>
        <w:t>ies</w:t>
      </w:r>
      <w:r w:rsidRPr="00BA10D4">
        <w:rPr>
          <w:rFonts w:ascii="Verdana" w:hAnsi="Verdana"/>
          <w:sz w:val="22"/>
          <w:szCs w:val="22"/>
        </w:rPr>
        <w:t xml:space="preserve"> to have a performance of 95% to 100% to meet the Compliance Indicator criteria for </w:t>
      </w:r>
      <w:r w:rsidR="00227CAE">
        <w:rPr>
          <w:rFonts w:ascii="Verdana" w:hAnsi="Verdana"/>
          <w:sz w:val="22"/>
          <w:szCs w:val="22"/>
        </w:rPr>
        <w:t>Levels of Determination</w:t>
      </w:r>
      <w:r w:rsidRPr="00BA10D4">
        <w:rPr>
          <w:rFonts w:ascii="Verdana" w:hAnsi="Verdana"/>
          <w:sz w:val="22"/>
          <w:szCs w:val="22"/>
        </w:rPr>
        <w:t>, South Dakota has incorporated this option</w:t>
      </w:r>
      <w:r w:rsidR="00953EE8" w:rsidRPr="00BA10D4">
        <w:rPr>
          <w:rFonts w:ascii="Verdana" w:hAnsi="Verdana"/>
          <w:sz w:val="22"/>
          <w:szCs w:val="22"/>
        </w:rPr>
        <w:t xml:space="preserve"> for district Determinations</w:t>
      </w:r>
      <w:r w:rsidRPr="00BA10D4">
        <w:rPr>
          <w:rFonts w:ascii="Verdana" w:hAnsi="Verdana"/>
          <w:sz w:val="22"/>
          <w:szCs w:val="22"/>
        </w:rPr>
        <w:t>.</w:t>
      </w:r>
      <w:r w:rsidR="00953EE8" w:rsidRPr="00BA10D4">
        <w:rPr>
          <w:rFonts w:ascii="Verdana" w:hAnsi="Verdana"/>
          <w:sz w:val="22"/>
          <w:szCs w:val="22"/>
        </w:rPr>
        <w:t xml:space="preserve"> OSEP has called this substantial compliance and is used only for Determinations. Districts are still required to meet the annual compliance targets of 100% for indicators 11, 12, 13 and 15 and 0% for indicators 9 and 10.  Any local program within the range of 95-99.9% still needs to correct those few issues and work to 100%</w:t>
      </w:r>
      <w:r w:rsidR="000B6E6E" w:rsidRPr="00BA10D4">
        <w:rPr>
          <w:rFonts w:ascii="Verdana" w:hAnsi="Verdana"/>
          <w:sz w:val="22"/>
          <w:szCs w:val="22"/>
        </w:rPr>
        <w:t>.</w:t>
      </w:r>
    </w:p>
    <w:p w:rsidR="00C81D81" w:rsidRPr="00BA10D4" w:rsidRDefault="00C81D81" w:rsidP="00C81D81">
      <w:pPr>
        <w:rPr>
          <w:rFonts w:ascii="Verdana" w:hAnsi="Verdana"/>
          <w:sz w:val="22"/>
          <w:szCs w:val="22"/>
        </w:rPr>
      </w:pPr>
    </w:p>
    <w:p w:rsidR="0050313A" w:rsidRPr="00BA10D4" w:rsidRDefault="006A2552" w:rsidP="00C81D81">
      <w:pPr>
        <w:rPr>
          <w:rFonts w:ascii="Verdana" w:hAnsi="Verdana"/>
          <w:sz w:val="22"/>
          <w:szCs w:val="22"/>
        </w:rPr>
      </w:pPr>
      <w:r w:rsidRPr="00BA10D4">
        <w:rPr>
          <w:rFonts w:ascii="Verdana" w:hAnsi="Verdana"/>
          <w:sz w:val="22"/>
          <w:szCs w:val="22"/>
        </w:rPr>
        <w:t xml:space="preserve">South Dakota’s number one goal is for </w:t>
      </w:r>
      <w:r w:rsidR="00C81D81" w:rsidRPr="00BA10D4">
        <w:rPr>
          <w:rFonts w:ascii="Verdana" w:hAnsi="Verdana"/>
          <w:sz w:val="22"/>
          <w:szCs w:val="22"/>
        </w:rPr>
        <w:t>districts</w:t>
      </w:r>
      <w:r w:rsidRPr="00BA10D4">
        <w:rPr>
          <w:rFonts w:ascii="Verdana" w:hAnsi="Verdana"/>
          <w:sz w:val="22"/>
          <w:szCs w:val="22"/>
        </w:rPr>
        <w:t xml:space="preserve"> </w:t>
      </w:r>
      <w:r w:rsidR="00C81D81" w:rsidRPr="00BA10D4">
        <w:rPr>
          <w:rFonts w:ascii="Verdana" w:hAnsi="Verdana"/>
          <w:sz w:val="22"/>
          <w:szCs w:val="22"/>
        </w:rPr>
        <w:t xml:space="preserve">to meet </w:t>
      </w:r>
      <w:smartTag w:uri="urn:schemas-microsoft-com:office:smarttags" w:element="stockticker">
        <w:r w:rsidRPr="00BA10D4">
          <w:rPr>
            <w:rFonts w:ascii="Verdana" w:hAnsi="Verdana"/>
            <w:sz w:val="22"/>
            <w:szCs w:val="22"/>
          </w:rPr>
          <w:t>SPP</w:t>
        </w:r>
      </w:smartTag>
      <w:r w:rsidR="00C81D81" w:rsidRPr="00BA10D4">
        <w:rPr>
          <w:rFonts w:ascii="Verdana" w:hAnsi="Verdana"/>
          <w:sz w:val="22"/>
          <w:szCs w:val="22"/>
        </w:rPr>
        <w:t xml:space="preserve"> </w:t>
      </w:r>
      <w:r w:rsidRPr="00BA10D4">
        <w:rPr>
          <w:rFonts w:ascii="Verdana" w:hAnsi="Verdana"/>
          <w:sz w:val="22"/>
          <w:szCs w:val="22"/>
        </w:rPr>
        <w:t>targets.  In order to emphasize that goal,</w:t>
      </w:r>
      <w:r w:rsidR="00C81D81" w:rsidRPr="00BA10D4">
        <w:rPr>
          <w:rFonts w:ascii="Verdana" w:hAnsi="Verdana"/>
          <w:sz w:val="22"/>
          <w:szCs w:val="22"/>
        </w:rPr>
        <w:t xml:space="preserve"> South Dakota has create</w:t>
      </w:r>
      <w:r w:rsidR="00D40B37" w:rsidRPr="00BA10D4">
        <w:rPr>
          <w:rFonts w:ascii="Verdana" w:hAnsi="Verdana"/>
          <w:sz w:val="22"/>
          <w:szCs w:val="22"/>
        </w:rPr>
        <w:t>d</w:t>
      </w:r>
      <w:r w:rsidR="00C81D81" w:rsidRPr="00BA10D4">
        <w:rPr>
          <w:rFonts w:ascii="Verdana" w:hAnsi="Verdana"/>
          <w:sz w:val="22"/>
          <w:szCs w:val="22"/>
        </w:rPr>
        <w:t xml:space="preserve"> </w:t>
      </w:r>
      <w:r w:rsidR="00BE62BF" w:rsidRPr="00BA10D4">
        <w:rPr>
          <w:rFonts w:ascii="Verdana" w:hAnsi="Verdana"/>
          <w:sz w:val="22"/>
          <w:szCs w:val="22"/>
        </w:rPr>
        <w:t>weighted point criteria</w:t>
      </w:r>
      <w:r w:rsidR="00B91B3E" w:rsidRPr="00BA10D4">
        <w:rPr>
          <w:rFonts w:ascii="Verdana" w:hAnsi="Verdana"/>
          <w:sz w:val="22"/>
          <w:szCs w:val="22"/>
        </w:rPr>
        <w:t xml:space="preserve"> for each </w:t>
      </w:r>
      <w:r w:rsidR="00E34330" w:rsidRPr="00BA10D4">
        <w:rPr>
          <w:rFonts w:ascii="Verdana" w:hAnsi="Verdana"/>
          <w:sz w:val="22"/>
          <w:szCs w:val="22"/>
        </w:rPr>
        <w:t>area</w:t>
      </w:r>
      <w:r w:rsidR="00036DCD" w:rsidRPr="00BA10D4">
        <w:rPr>
          <w:rFonts w:ascii="Verdana" w:hAnsi="Verdana"/>
          <w:sz w:val="22"/>
          <w:szCs w:val="22"/>
        </w:rPr>
        <w:t>.</w:t>
      </w:r>
      <w:r w:rsidR="0050313A" w:rsidRPr="00BA10D4">
        <w:rPr>
          <w:rFonts w:ascii="Verdana" w:hAnsi="Verdana"/>
          <w:sz w:val="22"/>
          <w:szCs w:val="22"/>
        </w:rPr>
        <w:t xml:space="preserve">  Table 1-1 indicates how many points a district can obtain for each area and the criteria</w:t>
      </w:r>
      <w:r w:rsidR="00953EE8" w:rsidRPr="00BA10D4">
        <w:rPr>
          <w:rFonts w:ascii="Verdana" w:hAnsi="Verdana"/>
          <w:sz w:val="22"/>
          <w:szCs w:val="22"/>
        </w:rPr>
        <w:t>.</w:t>
      </w:r>
    </w:p>
    <w:p w:rsidR="006A2552" w:rsidRPr="00BA10D4" w:rsidRDefault="006A2552" w:rsidP="00C81D81">
      <w:pPr>
        <w:rPr>
          <w:rFonts w:ascii="Verdana" w:hAnsi="Verdana"/>
          <w:sz w:val="22"/>
          <w:szCs w:val="22"/>
        </w:rPr>
      </w:pPr>
    </w:p>
    <w:p w:rsidR="0050313A" w:rsidRPr="00BA10D4" w:rsidRDefault="006A2552" w:rsidP="00C81D81">
      <w:pPr>
        <w:rPr>
          <w:rFonts w:ascii="Verdana" w:hAnsi="Verdana"/>
          <w:b/>
          <w:sz w:val="22"/>
          <w:szCs w:val="22"/>
        </w:rPr>
      </w:pPr>
      <w:r w:rsidRPr="00BA10D4">
        <w:rPr>
          <w:rFonts w:ascii="Verdana" w:hAnsi="Verdana"/>
          <w:b/>
          <w:sz w:val="22"/>
          <w:szCs w:val="22"/>
        </w:rPr>
        <w:t xml:space="preserve">Table 1-1 </w:t>
      </w:r>
    </w:p>
    <w:tbl>
      <w:tblPr>
        <w:tblW w:w="0" w:type="auto"/>
        <w:tblBorders>
          <w:insideH w:val="single" w:sz="18" w:space="0" w:color="FFFFFF"/>
          <w:insideV w:val="single" w:sz="18" w:space="0" w:color="FFFFFF"/>
        </w:tblBorders>
        <w:tblLook w:val="01E0" w:firstRow="1" w:lastRow="1" w:firstColumn="1" w:lastColumn="1" w:noHBand="0" w:noVBand="0"/>
      </w:tblPr>
      <w:tblGrid>
        <w:gridCol w:w="3348"/>
        <w:gridCol w:w="4770"/>
        <w:gridCol w:w="2160"/>
      </w:tblGrid>
      <w:tr w:rsidR="0050313A" w:rsidRPr="00682638" w:rsidTr="00682638">
        <w:trPr>
          <w:trHeight w:val="440"/>
        </w:trPr>
        <w:tc>
          <w:tcPr>
            <w:tcW w:w="3348" w:type="dxa"/>
            <w:shd w:val="pct20" w:color="000000" w:fill="FFFFFF"/>
          </w:tcPr>
          <w:p w:rsidR="0050313A" w:rsidRPr="00682638" w:rsidRDefault="0050313A" w:rsidP="00682638">
            <w:pPr>
              <w:jc w:val="center"/>
              <w:rPr>
                <w:rFonts w:ascii="Verdana" w:hAnsi="Verdana"/>
                <w:b/>
                <w:bCs/>
                <w:sz w:val="22"/>
                <w:szCs w:val="22"/>
              </w:rPr>
            </w:pPr>
            <w:r w:rsidRPr="00682638">
              <w:rPr>
                <w:rFonts w:ascii="Verdana" w:hAnsi="Verdana"/>
                <w:b/>
                <w:bCs/>
                <w:sz w:val="22"/>
                <w:szCs w:val="22"/>
              </w:rPr>
              <w:t>Area</w:t>
            </w:r>
          </w:p>
        </w:tc>
        <w:tc>
          <w:tcPr>
            <w:tcW w:w="4770" w:type="dxa"/>
            <w:shd w:val="pct20" w:color="000000" w:fill="FFFFFF"/>
          </w:tcPr>
          <w:p w:rsidR="0050313A" w:rsidRPr="00682638" w:rsidRDefault="0050313A" w:rsidP="00682638">
            <w:pPr>
              <w:jc w:val="center"/>
              <w:rPr>
                <w:rFonts w:ascii="Verdana" w:hAnsi="Verdana"/>
                <w:b/>
                <w:bCs/>
                <w:sz w:val="22"/>
                <w:szCs w:val="22"/>
              </w:rPr>
            </w:pPr>
            <w:r w:rsidRPr="00682638">
              <w:rPr>
                <w:rFonts w:ascii="Verdana" w:hAnsi="Verdana"/>
                <w:b/>
                <w:bCs/>
                <w:sz w:val="22"/>
                <w:szCs w:val="22"/>
              </w:rPr>
              <w:t>Definition</w:t>
            </w:r>
            <w:r w:rsidR="00EE3B08" w:rsidRPr="00682638">
              <w:rPr>
                <w:rFonts w:ascii="Verdana" w:hAnsi="Verdana"/>
                <w:b/>
                <w:bCs/>
                <w:sz w:val="22"/>
                <w:szCs w:val="22"/>
              </w:rPr>
              <w:t>/ Criteria</w:t>
            </w:r>
          </w:p>
        </w:tc>
        <w:tc>
          <w:tcPr>
            <w:tcW w:w="2160" w:type="dxa"/>
            <w:shd w:val="pct20" w:color="000000" w:fill="FFFFFF"/>
          </w:tcPr>
          <w:p w:rsidR="0050313A" w:rsidRPr="00682638" w:rsidRDefault="0050313A" w:rsidP="00682638">
            <w:pPr>
              <w:jc w:val="center"/>
              <w:rPr>
                <w:rFonts w:ascii="Verdana" w:hAnsi="Verdana"/>
                <w:b/>
                <w:bCs/>
                <w:sz w:val="22"/>
                <w:szCs w:val="22"/>
              </w:rPr>
            </w:pPr>
            <w:r w:rsidRPr="00682638">
              <w:rPr>
                <w:rFonts w:ascii="Verdana" w:hAnsi="Verdana"/>
                <w:b/>
                <w:bCs/>
                <w:sz w:val="22"/>
                <w:szCs w:val="22"/>
              </w:rPr>
              <w:t>Points Earn</w:t>
            </w:r>
            <w:r w:rsidR="00953EE8" w:rsidRPr="00682638">
              <w:rPr>
                <w:rFonts w:ascii="Verdana" w:hAnsi="Verdana"/>
                <w:b/>
                <w:bCs/>
                <w:sz w:val="22"/>
                <w:szCs w:val="22"/>
              </w:rPr>
              <w:t>ed</w:t>
            </w:r>
          </w:p>
        </w:tc>
      </w:tr>
      <w:tr w:rsidR="0050313A" w:rsidRPr="00682638" w:rsidTr="00682638">
        <w:trPr>
          <w:trHeight w:val="468"/>
        </w:trPr>
        <w:tc>
          <w:tcPr>
            <w:tcW w:w="3348"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Compliance Indicators</w:t>
            </w:r>
          </w:p>
        </w:tc>
        <w:tc>
          <w:tcPr>
            <w:tcW w:w="4770"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Meet 95% to 100%</w:t>
            </w:r>
          </w:p>
        </w:tc>
        <w:tc>
          <w:tcPr>
            <w:tcW w:w="2160"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3</w:t>
            </w:r>
          </w:p>
        </w:tc>
      </w:tr>
      <w:tr w:rsidR="0050313A" w:rsidRPr="00682638" w:rsidTr="00682638">
        <w:trPr>
          <w:trHeight w:val="630"/>
        </w:trPr>
        <w:tc>
          <w:tcPr>
            <w:tcW w:w="3348" w:type="dxa"/>
            <w:shd w:val="pct20"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Correction of Non-Compliance</w:t>
            </w:r>
          </w:p>
        </w:tc>
        <w:tc>
          <w:tcPr>
            <w:tcW w:w="4770" w:type="dxa"/>
            <w:shd w:val="pct20"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Completing Corrective Action Plans within 12 months.</w:t>
            </w:r>
          </w:p>
        </w:tc>
        <w:tc>
          <w:tcPr>
            <w:tcW w:w="2160" w:type="dxa"/>
            <w:shd w:val="pct20"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2</w:t>
            </w:r>
          </w:p>
        </w:tc>
      </w:tr>
      <w:tr w:rsidR="0050313A" w:rsidRPr="00682638" w:rsidTr="00682638">
        <w:trPr>
          <w:trHeight w:val="405"/>
        </w:trPr>
        <w:tc>
          <w:tcPr>
            <w:tcW w:w="3348"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Meeting Timeline</w:t>
            </w:r>
          </w:p>
        </w:tc>
        <w:tc>
          <w:tcPr>
            <w:tcW w:w="4770"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Valid, Reliable, and Timely Data</w:t>
            </w:r>
          </w:p>
        </w:tc>
        <w:tc>
          <w:tcPr>
            <w:tcW w:w="2160" w:type="dxa"/>
            <w:shd w:val="pct5" w:color="000000" w:fill="FFFFFF"/>
          </w:tcPr>
          <w:p w:rsidR="0050313A" w:rsidRPr="00682638" w:rsidRDefault="0050313A" w:rsidP="00682638">
            <w:pPr>
              <w:jc w:val="center"/>
              <w:rPr>
                <w:rFonts w:ascii="Verdana" w:hAnsi="Verdana"/>
                <w:sz w:val="22"/>
                <w:szCs w:val="22"/>
              </w:rPr>
            </w:pPr>
            <w:r w:rsidRPr="00682638">
              <w:rPr>
                <w:rFonts w:ascii="Verdana" w:hAnsi="Verdana"/>
                <w:sz w:val="22"/>
                <w:szCs w:val="22"/>
              </w:rPr>
              <w:t>1</w:t>
            </w:r>
          </w:p>
        </w:tc>
      </w:tr>
      <w:tr w:rsidR="00D40B37" w:rsidRPr="00682638" w:rsidTr="00682638">
        <w:trPr>
          <w:trHeight w:val="405"/>
        </w:trPr>
        <w:tc>
          <w:tcPr>
            <w:tcW w:w="3348" w:type="dxa"/>
            <w:shd w:val="pct20" w:color="000000" w:fill="FFFFFF"/>
          </w:tcPr>
          <w:p w:rsidR="00D40B37" w:rsidRPr="00682638" w:rsidRDefault="00D40B37" w:rsidP="00682638">
            <w:pPr>
              <w:jc w:val="center"/>
              <w:rPr>
                <w:rFonts w:ascii="Verdana" w:hAnsi="Verdana"/>
                <w:sz w:val="22"/>
                <w:szCs w:val="22"/>
              </w:rPr>
            </w:pPr>
            <w:r w:rsidRPr="00682638">
              <w:rPr>
                <w:rFonts w:ascii="Verdana" w:hAnsi="Verdana"/>
                <w:sz w:val="22"/>
                <w:szCs w:val="22"/>
              </w:rPr>
              <w:t>Total Points</w:t>
            </w:r>
            <w:r w:rsidR="0007425C" w:rsidRPr="00682638">
              <w:rPr>
                <w:rFonts w:ascii="Verdana" w:hAnsi="Verdana"/>
                <w:sz w:val="22"/>
                <w:szCs w:val="22"/>
              </w:rPr>
              <w:t xml:space="preserve"> a</w:t>
            </w:r>
            <w:r w:rsidRPr="00682638">
              <w:rPr>
                <w:rFonts w:ascii="Verdana" w:hAnsi="Verdana"/>
                <w:sz w:val="22"/>
                <w:szCs w:val="22"/>
              </w:rPr>
              <w:t xml:space="preserve"> District can earn</w:t>
            </w:r>
          </w:p>
        </w:tc>
        <w:tc>
          <w:tcPr>
            <w:tcW w:w="4770" w:type="dxa"/>
            <w:shd w:val="pct20" w:color="000000" w:fill="FFFFFF"/>
          </w:tcPr>
          <w:p w:rsidR="00D40B37" w:rsidRPr="00682638" w:rsidRDefault="00D40B37" w:rsidP="00682638">
            <w:pPr>
              <w:jc w:val="center"/>
              <w:rPr>
                <w:rFonts w:ascii="Verdana" w:hAnsi="Verdana"/>
                <w:sz w:val="22"/>
                <w:szCs w:val="22"/>
              </w:rPr>
            </w:pPr>
          </w:p>
        </w:tc>
        <w:tc>
          <w:tcPr>
            <w:tcW w:w="2160" w:type="dxa"/>
            <w:shd w:val="pct20" w:color="000000" w:fill="FFFFFF"/>
          </w:tcPr>
          <w:p w:rsidR="00D40B37" w:rsidRPr="00682638" w:rsidRDefault="00D40B37" w:rsidP="00682638">
            <w:pPr>
              <w:jc w:val="center"/>
              <w:rPr>
                <w:rFonts w:ascii="Verdana" w:hAnsi="Verdana"/>
                <w:sz w:val="22"/>
                <w:szCs w:val="22"/>
              </w:rPr>
            </w:pPr>
            <w:r w:rsidRPr="00682638">
              <w:rPr>
                <w:rFonts w:ascii="Verdana" w:hAnsi="Verdana"/>
                <w:sz w:val="22"/>
                <w:szCs w:val="22"/>
              </w:rPr>
              <w:t>4</w:t>
            </w:r>
            <w:r w:rsidR="004B13E6" w:rsidRPr="00682638">
              <w:rPr>
                <w:rFonts w:ascii="Verdana" w:hAnsi="Verdana"/>
                <w:sz w:val="22"/>
                <w:szCs w:val="22"/>
              </w:rPr>
              <w:t>2</w:t>
            </w:r>
            <w:r w:rsidRPr="00682638">
              <w:rPr>
                <w:rFonts w:ascii="Verdana" w:hAnsi="Verdana"/>
                <w:sz w:val="22"/>
                <w:szCs w:val="22"/>
              </w:rPr>
              <w:t xml:space="preserve"> points</w:t>
            </w:r>
          </w:p>
        </w:tc>
      </w:tr>
    </w:tbl>
    <w:p w:rsidR="0050313A" w:rsidRPr="00BA10D4" w:rsidRDefault="0050313A" w:rsidP="00C81D81">
      <w:pPr>
        <w:rPr>
          <w:rFonts w:ascii="Verdana" w:hAnsi="Verdana"/>
          <w:sz w:val="22"/>
          <w:szCs w:val="22"/>
        </w:rPr>
      </w:pPr>
    </w:p>
    <w:p w:rsidR="001861EF" w:rsidRPr="00BA10D4" w:rsidRDefault="001861EF" w:rsidP="00C81D81">
      <w:pPr>
        <w:rPr>
          <w:rFonts w:ascii="Verdana" w:hAnsi="Verdana"/>
          <w:b/>
          <w:sz w:val="22"/>
          <w:szCs w:val="22"/>
        </w:rPr>
      </w:pPr>
      <w:r w:rsidRPr="00BA10D4">
        <w:rPr>
          <w:rFonts w:ascii="Verdana" w:hAnsi="Verdana"/>
          <w:b/>
          <w:sz w:val="22"/>
          <w:szCs w:val="22"/>
        </w:rPr>
        <w:t>Levels of Determination</w:t>
      </w:r>
    </w:p>
    <w:p w:rsidR="001861EF" w:rsidRPr="00BA10D4" w:rsidRDefault="001861EF" w:rsidP="00C81D81">
      <w:pPr>
        <w:rPr>
          <w:rFonts w:ascii="Verdana" w:hAnsi="Verdana"/>
          <w:sz w:val="22"/>
          <w:szCs w:val="22"/>
        </w:rPr>
      </w:pPr>
    </w:p>
    <w:p w:rsidR="0007425C" w:rsidRPr="00BA10D4" w:rsidRDefault="0007425C" w:rsidP="00C81D81">
      <w:pPr>
        <w:rPr>
          <w:rFonts w:ascii="Verdana" w:hAnsi="Verdana"/>
          <w:sz w:val="22"/>
          <w:szCs w:val="22"/>
        </w:rPr>
      </w:pPr>
      <w:r w:rsidRPr="00BA10D4">
        <w:rPr>
          <w:rFonts w:ascii="Verdana" w:hAnsi="Verdana"/>
          <w:sz w:val="22"/>
          <w:szCs w:val="22"/>
        </w:rPr>
        <w:t>State Education Agencies must place local education agencies (LEA) in a Determination level based on their performance on the State Performance Plan according to</w:t>
      </w:r>
      <w:r w:rsidR="009330CD" w:rsidRPr="00BA10D4">
        <w:rPr>
          <w:rFonts w:ascii="Verdana" w:hAnsi="Verdana"/>
          <w:sz w:val="22"/>
          <w:szCs w:val="22"/>
        </w:rPr>
        <w:t xml:space="preserve"> Section 616(d) of the IDEA and ARSD</w:t>
      </w:r>
      <w:r w:rsidRPr="00BA10D4">
        <w:rPr>
          <w:rFonts w:ascii="Verdana" w:hAnsi="Verdana"/>
          <w:sz w:val="22"/>
          <w:szCs w:val="22"/>
        </w:rPr>
        <w:t xml:space="preserve">:  </w:t>
      </w:r>
    </w:p>
    <w:p w:rsidR="009330CD" w:rsidRPr="00BA10D4" w:rsidRDefault="009330CD" w:rsidP="0007425C">
      <w:pPr>
        <w:ind w:left="720"/>
        <w:rPr>
          <w:rFonts w:ascii="Verdana" w:hAnsi="Verdana"/>
          <w:b/>
          <w:sz w:val="22"/>
          <w:szCs w:val="22"/>
        </w:rPr>
      </w:pPr>
    </w:p>
    <w:p w:rsidR="0007425C" w:rsidRPr="00BA10D4" w:rsidRDefault="0007425C" w:rsidP="0007425C">
      <w:pPr>
        <w:ind w:left="720"/>
        <w:rPr>
          <w:rFonts w:ascii="Verdana" w:hAnsi="Verdana"/>
          <w:sz w:val="22"/>
          <w:szCs w:val="22"/>
        </w:rPr>
      </w:pPr>
      <w:r w:rsidRPr="00BA10D4">
        <w:rPr>
          <w:rFonts w:ascii="Verdana" w:hAnsi="Verdana"/>
          <w:b/>
          <w:sz w:val="22"/>
          <w:szCs w:val="22"/>
        </w:rPr>
        <w:lastRenderedPageBreak/>
        <w:t>24:05:20:23.04.  State enforcement -- Determinations.</w:t>
      </w:r>
      <w:r w:rsidRPr="00BA10D4">
        <w:rPr>
          <w:rFonts w:ascii="Verdana" w:hAnsi="Verdana"/>
          <w:sz w:val="22"/>
          <w:szCs w:val="22"/>
        </w:rPr>
        <w:t xml:space="preserve"> On an annual basis, based on local district performance data, information obtained through monitoring visits, and other information available, the department shall determine whether each school district meets the requirements and purposes of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 </w:t>
      </w:r>
    </w:p>
    <w:p w:rsidR="0007425C" w:rsidRPr="00BA10D4" w:rsidRDefault="0007425C" w:rsidP="00C81D81">
      <w:pPr>
        <w:rPr>
          <w:rFonts w:ascii="Verdana" w:hAnsi="Verdana"/>
          <w:sz w:val="22"/>
          <w:szCs w:val="22"/>
        </w:rPr>
      </w:pPr>
    </w:p>
    <w:p w:rsidR="00421909" w:rsidRPr="00BA10D4" w:rsidRDefault="00421909" w:rsidP="00C81D81">
      <w:pPr>
        <w:rPr>
          <w:rFonts w:ascii="Verdana" w:hAnsi="Verdana"/>
          <w:sz w:val="22"/>
          <w:szCs w:val="22"/>
        </w:rPr>
      </w:pPr>
    </w:p>
    <w:p w:rsidR="0007425C" w:rsidRPr="00BA10D4" w:rsidRDefault="0007425C" w:rsidP="00C81D81">
      <w:pPr>
        <w:rPr>
          <w:rFonts w:ascii="Verdana" w:hAnsi="Verdana"/>
          <w:sz w:val="22"/>
          <w:szCs w:val="22"/>
        </w:rPr>
      </w:pPr>
      <w:r w:rsidRPr="00BA10D4">
        <w:rPr>
          <w:rFonts w:ascii="Verdana" w:hAnsi="Verdana"/>
          <w:sz w:val="22"/>
          <w:szCs w:val="22"/>
        </w:rPr>
        <w:t xml:space="preserve">Based on the criteria above, South Dakota </w:t>
      </w:r>
      <w:smartTag w:uri="urn:schemas-microsoft-com:office:smarttags" w:element="stockticker">
        <w:r w:rsidRPr="00BA10D4">
          <w:rPr>
            <w:rFonts w:ascii="Verdana" w:hAnsi="Verdana"/>
            <w:sz w:val="22"/>
            <w:szCs w:val="22"/>
          </w:rPr>
          <w:t>LEA</w:t>
        </w:r>
      </w:smartTag>
      <w:r w:rsidRPr="00BA10D4">
        <w:rPr>
          <w:rFonts w:ascii="Verdana" w:hAnsi="Verdana"/>
          <w:sz w:val="22"/>
          <w:szCs w:val="22"/>
        </w:rPr>
        <w:t xml:space="preserve">’s will be placed in one of the following </w:t>
      </w:r>
      <w:r w:rsidR="004E074E" w:rsidRPr="00BA10D4">
        <w:rPr>
          <w:rFonts w:ascii="Verdana" w:hAnsi="Verdana"/>
          <w:sz w:val="22"/>
          <w:szCs w:val="22"/>
        </w:rPr>
        <w:t>Determination Levels</w:t>
      </w:r>
      <w:r w:rsidRPr="00BA10D4">
        <w:rPr>
          <w:rFonts w:ascii="Verdana" w:hAnsi="Verdana"/>
          <w:sz w:val="22"/>
          <w:szCs w:val="22"/>
        </w:rPr>
        <w:t xml:space="preserve"> </w:t>
      </w:r>
      <w:r w:rsidR="00C1086C" w:rsidRPr="00BA10D4">
        <w:rPr>
          <w:rFonts w:ascii="Verdana" w:hAnsi="Verdana"/>
          <w:sz w:val="22"/>
          <w:szCs w:val="22"/>
        </w:rPr>
        <w:t>based on</w:t>
      </w:r>
      <w:r w:rsidRPr="00BA10D4">
        <w:rPr>
          <w:rFonts w:ascii="Verdana" w:hAnsi="Verdana"/>
          <w:sz w:val="22"/>
          <w:szCs w:val="22"/>
        </w:rPr>
        <w:t xml:space="preserve"> points</w:t>
      </w:r>
      <w:r w:rsidR="00C1086C" w:rsidRPr="00BA10D4">
        <w:rPr>
          <w:rFonts w:ascii="Verdana" w:hAnsi="Verdana"/>
          <w:sz w:val="22"/>
          <w:szCs w:val="22"/>
        </w:rPr>
        <w:t xml:space="preserve"> accrued</w:t>
      </w:r>
      <w:r w:rsidRPr="00BA10D4">
        <w:rPr>
          <w:rFonts w:ascii="Verdana" w:hAnsi="Verdana"/>
          <w:sz w:val="22"/>
          <w:szCs w:val="22"/>
        </w:rPr>
        <w:t>.</w:t>
      </w:r>
    </w:p>
    <w:p w:rsidR="001861EF" w:rsidRDefault="001861EF" w:rsidP="001861EF">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gridCol w:w="3420"/>
      </w:tblGrid>
      <w:tr w:rsidR="003B0D5C" w:rsidTr="00682638">
        <w:trPr>
          <w:trHeight w:val="620"/>
        </w:trPr>
        <w:tc>
          <w:tcPr>
            <w:tcW w:w="2628" w:type="dxa"/>
            <w:tcBorders>
              <w:bottom w:val="single" w:sz="6" w:space="0" w:color="000000"/>
            </w:tcBorders>
            <w:shd w:val="solid" w:color="800080" w:fill="FFFFFF"/>
          </w:tcPr>
          <w:p w:rsidR="003B0D5C" w:rsidRPr="00682638" w:rsidRDefault="003B0D5C" w:rsidP="00682638">
            <w:pPr>
              <w:jc w:val="center"/>
              <w:rPr>
                <w:b/>
                <w:bCs/>
                <w:color w:val="FFFFFF"/>
                <w:sz w:val="24"/>
                <w:szCs w:val="24"/>
              </w:rPr>
            </w:pPr>
            <w:r w:rsidRPr="00682638">
              <w:rPr>
                <w:b/>
                <w:bCs/>
                <w:color w:val="FFFFFF"/>
                <w:sz w:val="24"/>
                <w:szCs w:val="24"/>
              </w:rPr>
              <w:t>Determination Level</w:t>
            </w:r>
          </w:p>
        </w:tc>
        <w:tc>
          <w:tcPr>
            <w:tcW w:w="2880" w:type="dxa"/>
            <w:tcBorders>
              <w:bottom w:val="single" w:sz="6" w:space="0" w:color="000000"/>
            </w:tcBorders>
            <w:shd w:val="solid" w:color="800080" w:fill="FFFFFF"/>
          </w:tcPr>
          <w:p w:rsidR="003B0D5C" w:rsidRPr="00682638" w:rsidRDefault="003B0D5C" w:rsidP="00682638">
            <w:pPr>
              <w:jc w:val="center"/>
              <w:rPr>
                <w:b/>
                <w:color w:val="FFFFFF"/>
                <w:sz w:val="24"/>
                <w:szCs w:val="24"/>
              </w:rPr>
            </w:pPr>
            <w:r w:rsidRPr="00682638">
              <w:rPr>
                <w:b/>
                <w:color w:val="FFFFFF"/>
                <w:sz w:val="24"/>
                <w:szCs w:val="24"/>
              </w:rPr>
              <w:t>Maximum Points Earned</w:t>
            </w:r>
          </w:p>
        </w:tc>
        <w:tc>
          <w:tcPr>
            <w:tcW w:w="3420" w:type="dxa"/>
            <w:tcBorders>
              <w:bottom w:val="single" w:sz="6" w:space="0" w:color="000000"/>
            </w:tcBorders>
            <w:shd w:val="solid" w:color="800080" w:fill="FFFFFF"/>
          </w:tcPr>
          <w:p w:rsidR="003B0D5C" w:rsidRPr="00682638" w:rsidRDefault="003B0D5C" w:rsidP="00682638">
            <w:pPr>
              <w:jc w:val="center"/>
              <w:rPr>
                <w:b/>
                <w:color w:val="FFFFFF"/>
                <w:sz w:val="24"/>
                <w:szCs w:val="24"/>
              </w:rPr>
            </w:pPr>
            <w:r w:rsidRPr="00682638">
              <w:rPr>
                <w:b/>
                <w:color w:val="FFFFFF"/>
                <w:sz w:val="24"/>
                <w:szCs w:val="24"/>
              </w:rPr>
              <w:t>Minimum Points Earned</w:t>
            </w:r>
          </w:p>
        </w:tc>
      </w:tr>
      <w:tr w:rsidR="003B0D5C" w:rsidTr="00682638">
        <w:trPr>
          <w:trHeight w:val="498"/>
        </w:trPr>
        <w:tc>
          <w:tcPr>
            <w:tcW w:w="2628" w:type="dxa"/>
            <w:shd w:val="solid" w:color="C0C0C0" w:fill="FFFFFF"/>
          </w:tcPr>
          <w:p w:rsidR="003B0D5C" w:rsidRPr="00682638" w:rsidRDefault="003B0D5C" w:rsidP="00C81D81">
            <w:pPr>
              <w:rPr>
                <w:b/>
                <w:bCs/>
                <w:sz w:val="24"/>
                <w:szCs w:val="24"/>
              </w:rPr>
            </w:pPr>
            <w:r w:rsidRPr="00682638">
              <w:rPr>
                <w:b/>
                <w:bCs/>
                <w:sz w:val="24"/>
                <w:szCs w:val="24"/>
              </w:rPr>
              <w:t>Meets Requirements</w:t>
            </w:r>
          </w:p>
        </w:tc>
        <w:tc>
          <w:tcPr>
            <w:tcW w:w="2880" w:type="dxa"/>
            <w:shd w:val="clear" w:color="auto" w:fill="auto"/>
          </w:tcPr>
          <w:p w:rsidR="003B0D5C" w:rsidRPr="00682638" w:rsidRDefault="00065B75" w:rsidP="00682638">
            <w:pPr>
              <w:jc w:val="center"/>
              <w:rPr>
                <w:sz w:val="24"/>
                <w:szCs w:val="24"/>
              </w:rPr>
            </w:pPr>
            <w:r w:rsidRPr="00682638">
              <w:rPr>
                <w:sz w:val="24"/>
                <w:szCs w:val="24"/>
              </w:rPr>
              <w:t>4</w:t>
            </w:r>
            <w:r w:rsidR="0016533B" w:rsidRPr="00682638">
              <w:rPr>
                <w:sz w:val="24"/>
                <w:szCs w:val="24"/>
              </w:rPr>
              <w:t>2</w:t>
            </w:r>
          </w:p>
        </w:tc>
        <w:tc>
          <w:tcPr>
            <w:tcW w:w="3420" w:type="dxa"/>
            <w:shd w:val="clear" w:color="auto" w:fill="auto"/>
          </w:tcPr>
          <w:p w:rsidR="003B0D5C" w:rsidRPr="00682638" w:rsidRDefault="003B0D5C" w:rsidP="00682638">
            <w:pPr>
              <w:jc w:val="center"/>
              <w:rPr>
                <w:sz w:val="24"/>
                <w:szCs w:val="24"/>
              </w:rPr>
            </w:pPr>
            <w:r w:rsidRPr="00682638">
              <w:rPr>
                <w:sz w:val="24"/>
                <w:szCs w:val="24"/>
              </w:rPr>
              <w:t>36</w:t>
            </w:r>
          </w:p>
        </w:tc>
      </w:tr>
      <w:tr w:rsidR="003B0D5C" w:rsidTr="00682638">
        <w:trPr>
          <w:trHeight w:val="512"/>
        </w:trPr>
        <w:tc>
          <w:tcPr>
            <w:tcW w:w="2628" w:type="dxa"/>
            <w:shd w:val="solid" w:color="C0C0C0" w:fill="FFFFFF"/>
          </w:tcPr>
          <w:p w:rsidR="003B0D5C" w:rsidRPr="00682638" w:rsidRDefault="003B0D5C" w:rsidP="00C81D81">
            <w:pPr>
              <w:rPr>
                <w:b/>
                <w:bCs/>
                <w:sz w:val="24"/>
                <w:szCs w:val="24"/>
              </w:rPr>
            </w:pPr>
            <w:r w:rsidRPr="00682638">
              <w:rPr>
                <w:b/>
                <w:bCs/>
                <w:sz w:val="24"/>
                <w:szCs w:val="24"/>
              </w:rPr>
              <w:t>Needs Assistance</w:t>
            </w:r>
          </w:p>
        </w:tc>
        <w:tc>
          <w:tcPr>
            <w:tcW w:w="2880" w:type="dxa"/>
            <w:shd w:val="clear" w:color="auto" w:fill="auto"/>
          </w:tcPr>
          <w:p w:rsidR="003B0D5C" w:rsidRPr="00682638" w:rsidRDefault="003B0D5C" w:rsidP="00682638">
            <w:pPr>
              <w:jc w:val="center"/>
              <w:rPr>
                <w:sz w:val="24"/>
                <w:szCs w:val="24"/>
              </w:rPr>
            </w:pPr>
            <w:r w:rsidRPr="00682638">
              <w:rPr>
                <w:sz w:val="24"/>
                <w:szCs w:val="24"/>
              </w:rPr>
              <w:t>35</w:t>
            </w:r>
          </w:p>
        </w:tc>
        <w:tc>
          <w:tcPr>
            <w:tcW w:w="3420" w:type="dxa"/>
            <w:shd w:val="clear" w:color="auto" w:fill="auto"/>
          </w:tcPr>
          <w:p w:rsidR="003B0D5C" w:rsidRPr="00682638" w:rsidRDefault="003B0D5C" w:rsidP="00682638">
            <w:pPr>
              <w:jc w:val="center"/>
              <w:rPr>
                <w:sz w:val="24"/>
                <w:szCs w:val="24"/>
              </w:rPr>
            </w:pPr>
            <w:r w:rsidRPr="00682638">
              <w:rPr>
                <w:sz w:val="24"/>
                <w:szCs w:val="24"/>
              </w:rPr>
              <w:t>30</w:t>
            </w:r>
          </w:p>
        </w:tc>
      </w:tr>
      <w:tr w:rsidR="003B0D5C" w:rsidTr="00682638">
        <w:trPr>
          <w:trHeight w:val="467"/>
        </w:trPr>
        <w:tc>
          <w:tcPr>
            <w:tcW w:w="2628" w:type="dxa"/>
            <w:shd w:val="solid" w:color="C0C0C0" w:fill="FFFFFF"/>
          </w:tcPr>
          <w:p w:rsidR="003B0D5C" w:rsidRPr="00682638" w:rsidRDefault="003B0D5C" w:rsidP="00C81D81">
            <w:pPr>
              <w:rPr>
                <w:b/>
                <w:bCs/>
                <w:sz w:val="24"/>
                <w:szCs w:val="24"/>
              </w:rPr>
            </w:pPr>
            <w:r w:rsidRPr="00682638">
              <w:rPr>
                <w:b/>
                <w:bCs/>
                <w:sz w:val="24"/>
                <w:szCs w:val="24"/>
              </w:rPr>
              <w:t>Needs Intervention</w:t>
            </w:r>
          </w:p>
        </w:tc>
        <w:tc>
          <w:tcPr>
            <w:tcW w:w="2880" w:type="dxa"/>
            <w:shd w:val="clear" w:color="auto" w:fill="auto"/>
          </w:tcPr>
          <w:p w:rsidR="003B0D5C" w:rsidRPr="00682638" w:rsidRDefault="003B0D5C" w:rsidP="00682638">
            <w:pPr>
              <w:jc w:val="center"/>
              <w:rPr>
                <w:sz w:val="24"/>
                <w:szCs w:val="24"/>
              </w:rPr>
            </w:pPr>
            <w:r w:rsidRPr="00682638">
              <w:rPr>
                <w:sz w:val="24"/>
                <w:szCs w:val="24"/>
              </w:rPr>
              <w:t>29</w:t>
            </w:r>
          </w:p>
        </w:tc>
        <w:tc>
          <w:tcPr>
            <w:tcW w:w="3420" w:type="dxa"/>
            <w:shd w:val="clear" w:color="auto" w:fill="auto"/>
          </w:tcPr>
          <w:p w:rsidR="003B0D5C" w:rsidRPr="00682638" w:rsidRDefault="003B0D5C" w:rsidP="00682638">
            <w:pPr>
              <w:jc w:val="center"/>
              <w:rPr>
                <w:sz w:val="24"/>
                <w:szCs w:val="24"/>
              </w:rPr>
            </w:pPr>
            <w:r w:rsidRPr="00682638">
              <w:rPr>
                <w:sz w:val="24"/>
                <w:szCs w:val="24"/>
              </w:rPr>
              <w:t>22</w:t>
            </w:r>
          </w:p>
        </w:tc>
      </w:tr>
      <w:tr w:rsidR="003B0D5C" w:rsidTr="00682638">
        <w:trPr>
          <w:trHeight w:val="795"/>
        </w:trPr>
        <w:tc>
          <w:tcPr>
            <w:tcW w:w="2628" w:type="dxa"/>
            <w:tcBorders>
              <w:top w:val="single" w:sz="6" w:space="0" w:color="000000"/>
            </w:tcBorders>
            <w:shd w:val="solid" w:color="C0C0C0" w:fill="FFFFFF"/>
          </w:tcPr>
          <w:p w:rsidR="003B0D5C" w:rsidRPr="00682638" w:rsidRDefault="003B0D5C" w:rsidP="00C81D81">
            <w:pPr>
              <w:rPr>
                <w:b/>
                <w:bCs/>
                <w:sz w:val="24"/>
                <w:szCs w:val="24"/>
              </w:rPr>
            </w:pPr>
            <w:r w:rsidRPr="00682638">
              <w:rPr>
                <w:b/>
                <w:bCs/>
                <w:sz w:val="24"/>
                <w:szCs w:val="24"/>
              </w:rPr>
              <w:t>Needs Substantial Intervention</w:t>
            </w:r>
          </w:p>
        </w:tc>
        <w:tc>
          <w:tcPr>
            <w:tcW w:w="2880" w:type="dxa"/>
            <w:tcBorders>
              <w:top w:val="single" w:sz="6" w:space="0" w:color="000000"/>
            </w:tcBorders>
            <w:shd w:val="clear" w:color="auto" w:fill="auto"/>
          </w:tcPr>
          <w:p w:rsidR="003B0D5C" w:rsidRPr="00682638" w:rsidRDefault="003B0D5C" w:rsidP="00682638">
            <w:pPr>
              <w:jc w:val="center"/>
              <w:rPr>
                <w:sz w:val="24"/>
                <w:szCs w:val="24"/>
              </w:rPr>
            </w:pPr>
            <w:r w:rsidRPr="00682638">
              <w:rPr>
                <w:sz w:val="24"/>
                <w:szCs w:val="24"/>
              </w:rPr>
              <w:t>21</w:t>
            </w:r>
          </w:p>
        </w:tc>
        <w:tc>
          <w:tcPr>
            <w:tcW w:w="3420" w:type="dxa"/>
            <w:tcBorders>
              <w:top w:val="single" w:sz="6" w:space="0" w:color="000000"/>
            </w:tcBorders>
            <w:shd w:val="clear" w:color="auto" w:fill="auto"/>
          </w:tcPr>
          <w:p w:rsidR="003B0D5C" w:rsidRPr="00682638" w:rsidRDefault="003B0D5C" w:rsidP="00682638">
            <w:pPr>
              <w:jc w:val="center"/>
              <w:rPr>
                <w:sz w:val="24"/>
                <w:szCs w:val="24"/>
              </w:rPr>
            </w:pPr>
            <w:r w:rsidRPr="00682638">
              <w:rPr>
                <w:sz w:val="24"/>
                <w:szCs w:val="24"/>
              </w:rPr>
              <w:t>0</w:t>
            </w:r>
          </w:p>
        </w:tc>
      </w:tr>
    </w:tbl>
    <w:p w:rsidR="0007425C" w:rsidRDefault="0007425C" w:rsidP="00074407"/>
    <w:p w:rsidR="001072D7" w:rsidRDefault="001072D7" w:rsidP="00074407"/>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b/>
          <w:sz w:val="22"/>
          <w:szCs w:val="22"/>
        </w:rPr>
        <w:t>Needs Assistance</w:t>
      </w:r>
      <w:r w:rsidRPr="00BA10D4">
        <w:rPr>
          <w:rFonts w:ascii="Verdana" w:hAnsi="Verdana"/>
          <w:sz w:val="22"/>
          <w:szCs w:val="22"/>
        </w:rPr>
        <w:t xml:space="preserve">:  If the department determines, for two consecutive years, that a school district needs assistance in implementing the requirements of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 the department shall take one or more of the following actions:</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t>(1)  Advise the district of available sources of technical assistance that may help the district address the areas in which the district needs assistance. Assistance may include assistance from the department's special education programs, other offices of the department, other state agencies, technical assistance providers approved by the department, and other federally-funded nonprofit agencies. The department shall require the district to work with appropriate entities. Such technical assistance may include:</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sz w:val="22"/>
          <w:szCs w:val="22"/>
        </w:rPr>
        <w:tab/>
        <w:t>(a)  The provision of advice by experts to address the areas in which the district needs assistance, including explicit plans for addressing the area of concern within a specified period of time;</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sz w:val="22"/>
          <w:szCs w:val="22"/>
        </w:rPr>
        <w:tab/>
        <w:t>(b)  Assistance in identifying and implementing professional development, instructional strategies, and methods of instruction that are based on scientifically-based research;</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sz w:val="22"/>
          <w:szCs w:val="22"/>
        </w:rPr>
        <w:tab/>
        <w:t>(c)  Designating and using distinguished superintendents, principals, special education administrators, special education teachers, and other teachers to provide advice, technical assistance, and support; and</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sz w:val="22"/>
          <w:szCs w:val="22"/>
        </w:rPr>
        <w:tab/>
        <w:t xml:space="preserve">(d)  Devising additional approaches to providing technical assistance, such as collaborating with institutions of higher education, educational service agencies, national </w:t>
      </w:r>
      <w:r w:rsidRPr="00BA10D4">
        <w:rPr>
          <w:rFonts w:ascii="Verdana" w:hAnsi="Verdana"/>
          <w:sz w:val="22"/>
          <w:szCs w:val="22"/>
        </w:rPr>
        <w:lastRenderedPageBreak/>
        <w:t>centers of technical assistance supported under Part D of the IDEA, and private providers of scientifically-based technical assistance; and</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t>(2)  Identify the district as a high-risk grantee and impose special conditions on the district's grant under Part B of the IDEA.</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b/>
          <w:sz w:val="22"/>
          <w:szCs w:val="22"/>
        </w:rPr>
        <w:t>Needs Intervention</w:t>
      </w:r>
      <w:r w:rsidRPr="00BA10D4">
        <w:rPr>
          <w:rFonts w:ascii="Verdana" w:hAnsi="Verdana"/>
          <w:sz w:val="22"/>
          <w:szCs w:val="22"/>
        </w:rPr>
        <w:t xml:space="preserve">:  If the department determines, for three or more consecutive years, that a district needs intervention in implementing the requirements of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 the department shall require the district to prepare a corrective action plan if the department determines that the district should be able to correct the problem within one year or withhold, in whole or in part, any further payments to the district under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b/>
          <w:sz w:val="22"/>
          <w:szCs w:val="22"/>
        </w:rPr>
        <w:t>Needs Substantial Intervention</w:t>
      </w:r>
      <w:r w:rsidRPr="00BA10D4">
        <w:rPr>
          <w:rFonts w:ascii="Verdana" w:hAnsi="Verdana"/>
          <w:sz w:val="22"/>
          <w:szCs w:val="22"/>
        </w:rPr>
        <w:t xml:space="preserve">:  Notwithstanding the provisions of this section, if the department determines that a district needs substantial intervention in implementing the requirements of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 or that there is a substantial failure to comply with any condition of the district's eligibility under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 the department shall withhold, in whole or in part, any further payments to the district under </w:t>
      </w:r>
      <w:smartTag w:uri="urn:schemas-microsoft-com:office:smarttags" w:element="PersonName">
        <w:r w:rsidRPr="00BA10D4">
          <w:rPr>
            <w:rFonts w:ascii="Verdana" w:hAnsi="Verdana"/>
            <w:sz w:val="22"/>
            <w:szCs w:val="22"/>
          </w:rPr>
          <w:t>Part B</w:t>
        </w:r>
      </w:smartTag>
      <w:r w:rsidRPr="00BA10D4">
        <w:rPr>
          <w:rFonts w:ascii="Verdana" w:hAnsi="Verdana"/>
          <w:sz w:val="22"/>
          <w:szCs w:val="22"/>
        </w:rPr>
        <w:t xml:space="preserve"> of the IDEA.</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b/>
          <w:sz w:val="22"/>
          <w:szCs w:val="22"/>
        </w:rPr>
        <w:t>Source:</w:t>
      </w:r>
      <w:r w:rsidRPr="00BA10D4">
        <w:rPr>
          <w:rFonts w:ascii="Verdana" w:hAnsi="Verdana"/>
          <w:sz w:val="22"/>
          <w:szCs w:val="22"/>
        </w:rPr>
        <w:t xml:space="preserve"> 33 SDR 236, effective July 5, 2007.</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b/>
          <w:sz w:val="22"/>
          <w:szCs w:val="22"/>
        </w:rPr>
        <w:t>General Authority:</w:t>
      </w:r>
      <w:r w:rsidRPr="00BA10D4">
        <w:rPr>
          <w:rFonts w:ascii="Verdana" w:hAnsi="Verdana"/>
          <w:sz w:val="22"/>
          <w:szCs w:val="22"/>
        </w:rPr>
        <w:t xml:space="preserve"> SDCL 13-37-1.1.</w:t>
      </w:r>
    </w:p>
    <w:p w:rsidR="001072D7" w:rsidRPr="00BA10D4" w:rsidRDefault="001072D7" w:rsidP="001072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Verdana" w:hAnsi="Verdana"/>
          <w:sz w:val="22"/>
          <w:szCs w:val="22"/>
        </w:rPr>
      </w:pPr>
      <w:r w:rsidRPr="00BA10D4">
        <w:rPr>
          <w:rFonts w:ascii="Verdana" w:hAnsi="Verdana"/>
          <w:sz w:val="22"/>
          <w:szCs w:val="22"/>
        </w:rPr>
        <w:tab/>
      </w:r>
      <w:r w:rsidRPr="00BA10D4">
        <w:rPr>
          <w:rFonts w:ascii="Verdana" w:hAnsi="Verdana"/>
          <w:b/>
          <w:sz w:val="22"/>
          <w:szCs w:val="22"/>
        </w:rPr>
        <w:t>Law Implemented:</w:t>
      </w:r>
      <w:r w:rsidRPr="00BA10D4">
        <w:rPr>
          <w:rFonts w:ascii="Verdana" w:hAnsi="Verdana"/>
          <w:sz w:val="22"/>
          <w:szCs w:val="22"/>
        </w:rPr>
        <w:t xml:space="preserve"> SDCL 13-37-1.1.</w:t>
      </w:r>
    </w:p>
    <w:p w:rsidR="001072D7" w:rsidRPr="00BA10D4" w:rsidRDefault="001072D7" w:rsidP="00074407">
      <w:pPr>
        <w:rPr>
          <w:rFonts w:ascii="Verdana" w:hAnsi="Verdana"/>
          <w:sz w:val="22"/>
          <w:szCs w:val="22"/>
        </w:rPr>
      </w:pPr>
    </w:p>
    <w:p w:rsidR="005C4C96" w:rsidRDefault="005C4C96" w:rsidP="00D07A1B">
      <w:pPr>
        <w:jc w:val="cente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Pr="005C4C96" w:rsidRDefault="005C4C96" w:rsidP="005C4C96">
      <w:pPr>
        <w:rPr>
          <w:rFonts w:ascii="Verdana" w:hAnsi="Verdana"/>
          <w:sz w:val="22"/>
          <w:szCs w:val="22"/>
        </w:rPr>
      </w:pPr>
    </w:p>
    <w:p w:rsidR="005C4C96" w:rsidRDefault="005C4C96" w:rsidP="00D07A1B">
      <w:pPr>
        <w:jc w:val="center"/>
        <w:rPr>
          <w:rFonts w:ascii="Verdana" w:hAnsi="Verdana"/>
          <w:sz w:val="22"/>
          <w:szCs w:val="22"/>
        </w:rPr>
      </w:pPr>
    </w:p>
    <w:p w:rsidR="005C4C96" w:rsidRDefault="005C4C96" w:rsidP="00D07A1B">
      <w:pPr>
        <w:jc w:val="center"/>
        <w:rPr>
          <w:rFonts w:ascii="Verdana" w:hAnsi="Verdana"/>
          <w:sz w:val="22"/>
          <w:szCs w:val="22"/>
        </w:rPr>
      </w:pPr>
    </w:p>
    <w:p w:rsidR="005C4C96" w:rsidRDefault="005C4C96" w:rsidP="005C4C96">
      <w:pPr>
        <w:tabs>
          <w:tab w:val="left" w:pos="9360"/>
        </w:tabs>
        <w:rPr>
          <w:rFonts w:ascii="Verdana" w:hAnsi="Verdana"/>
          <w:sz w:val="22"/>
          <w:szCs w:val="22"/>
        </w:rPr>
      </w:pPr>
      <w:r>
        <w:rPr>
          <w:rFonts w:ascii="Verdana" w:hAnsi="Verdana"/>
          <w:sz w:val="22"/>
          <w:szCs w:val="22"/>
        </w:rPr>
        <w:tab/>
      </w:r>
    </w:p>
    <w:p w:rsidR="00BA10D4" w:rsidRPr="00726E84" w:rsidRDefault="00BA10D4" w:rsidP="00D07A1B">
      <w:pPr>
        <w:jc w:val="center"/>
        <w:rPr>
          <w:rFonts w:ascii="Arial" w:hAnsi="Arial" w:cs="Arial"/>
          <w:b/>
          <w:sz w:val="24"/>
          <w:szCs w:val="24"/>
        </w:rPr>
      </w:pPr>
      <w:r w:rsidRPr="005C4C96">
        <w:rPr>
          <w:rFonts w:ascii="Verdana" w:hAnsi="Verdana"/>
          <w:sz w:val="22"/>
          <w:szCs w:val="22"/>
        </w:rPr>
        <w:br w:type="page"/>
      </w:r>
      <w:r w:rsidRPr="00726E84">
        <w:rPr>
          <w:rFonts w:ascii="Arial" w:hAnsi="Arial" w:cs="Arial"/>
          <w:b/>
          <w:sz w:val="24"/>
          <w:szCs w:val="24"/>
        </w:rPr>
        <w:lastRenderedPageBreak/>
        <w:t>South Dakota’s</w:t>
      </w:r>
    </w:p>
    <w:p w:rsidR="00BA10D4" w:rsidRPr="007A4148" w:rsidRDefault="00BA10D4" w:rsidP="00BA10D4">
      <w:pPr>
        <w:tabs>
          <w:tab w:val="left" w:pos="3360"/>
          <w:tab w:val="center" w:pos="6912"/>
        </w:tabs>
        <w:jc w:val="center"/>
        <w:rPr>
          <w:rFonts w:ascii="Arial" w:hAnsi="Arial" w:cs="Arial"/>
          <w:b/>
          <w:sz w:val="24"/>
          <w:szCs w:val="24"/>
        </w:rPr>
      </w:pPr>
      <w:r w:rsidRPr="00726E84">
        <w:rPr>
          <w:rFonts w:ascii="Arial" w:hAnsi="Arial" w:cs="Arial"/>
          <w:b/>
          <w:sz w:val="24"/>
          <w:szCs w:val="24"/>
        </w:rPr>
        <w:t>Initial Notification of Determination for</w:t>
      </w:r>
    </w:p>
    <w:p w:rsidR="00BA10D4" w:rsidRDefault="00BA10D4" w:rsidP="00BA10D4">
      <w:pPr>
        <w:jc w:val="center"/>
        <w:rPr>
          <w:rFonts w:ascii="Arial" w:hAnsi="Arial" w:cs="Arial"/>
          <w:sz w:val="28"/>
          <w:szCs w:val="28"/>
        </w:rPr>
      </w:pPr>
    </w:p>
    <w:p w:rsidR="00BA10D4" w:rsidRDefault="00BA10D4" w:rsidP="00BA10D4">
      <w:r w:rsidRPr="00AB65FD">
        <w:rPr>
          <w:rFonts w:ascii="Arial" w:hAnsi="Arial" w:cs="Arial"/>
          <w:sz w:val="22"/>
          <w:szCs w:val="22"/>
        </w:rPr>
        <w:t>This is an initial notification of the determination of your agency’s status with regard to meeting the requirements of the IDEA 300.600-604 for Feder</w:t>
      </w:r>
      <w:r w:rsidR="00133005">
        <w:rPr>
          <w:rFonts w:ascii="Arial" w:hAnsi="Arial" w:cs="Arial"/>
          <w:sz w:val="22"/>
          <w:szCs w:val="22"/>
        </w:rPr>
        <w:t xml:space="preserve">al Fiscal Year </w:t>
      </w:r>
      <w:r w:rsidR="00365944">
        <w:rPr>
          <w:rFonts w:ascii="Arial" w:hAnsi="Arial" w:cs="Arial"/>
          <w:sz w:val="22"/>
          <w:szCs w:val="22"/>
        </w:rPr>
        <w:t>20XX (July 1, 20XX</w:t>
      </w:r>
      <w:r w:rsidRPr="00AB65FD">
        <w:rPr>
          <w:rFonts w:ascii="Arial" w:hAnsi="Arial" w:cs="Arial"/>
          <w:sz w:val="22"/>
          <w:szCs w:val="22"/>
        </w:rPr>
        <w:t xml:space="preserve"> to June 30, 20</w:t>
      </w:r>
      <w:r w:rsidR="00365944">
        <w:rPr>
          <w:rFonts w:ascii="Arial" w:hAnsi="Arial" w:cs="Arial"/>
          <w:sz w:val="22"/>
          <w:szCs w:val="22"/>
        </w:rPr>
        <w:t>XX</w:t>
      </w:r>
      <w:r w:rsidRPr="00AB65FD">
        <w:rPr>
          <w:rFonts w:ascii="Arial" w:hAnsi="Arial" w:cs="Arial"/>
          <w:sz w:val="22"/>
          <w:szCs w:val="22"/>
        </w:rPr>
        <w:t xml:space="preserve">).  </w:t>
      </w:r>
    </w:p>
    <w:tbl>
      <w:tblPr>
        <w:tblW w:w="9951"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792"/>
        <w:gridCol w:w="922"/>
        <w:gridCol w:w="1075"/>
        <w:gridCol w:w="1504"/>
        <w:gridCol w:w="1115"/>
        <w:gridCol w:w="1440"/>
        <w:gridCol w:w="2103"/>
      </w:tblGrid>
      <w:tr w:rsidR="00D07A1B" w:rsidTr="00D07A1B">
        <w:trPr>
          <w:trHeight w:val="751"/>
          <w:tblCellSpacing w:w="20" w:type="dxa"/>
        </w:trPr>
        <w:tc>
          <w:tcPr>
            <w:tcW w:w="1732"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Indicators</w:t>
            </w:r>
          </w:p>
        </w:tc>
        <w:tc>
          <w:tcPr>
            <w:tcW w:w="882"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State Target</w:t>
            </w:r>
          </w:p>
        </w:tc>
        <w:tc>
          <w:tcPr>
            <w:tcW w:w="1035"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District Target</w:t>
            </w:r>
          </w:p>
        </w:tc>
        <w:tc>
          <w:tcPr>
            <w:tcW w:w="1464"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Did District Met Target?</w:t>
            </w:r>
          </w:p>
        </w:tc>
        <w:tc>
          <w:tcPr>
            <w:tcW w:w="1075"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Timely, Valid, Reliable Data?</w:t>
            </w:r>
            <w:r w:rsidRPr="006A6EB0">
              <w:rPr>
                <w:rStyle w:val="FootnoteReference"/>
                <w:b/>
                <w:sz w:val="22"/>
                <w:szCs w:val="22"/>
              </w:rPr>
              <w:footnoteReference w:id="1"/>
            </w:r>
          </w:p>
        </w:tc>
        <w:tc>
          <w:tcPr>
            <w:tcW w:w="1400"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Corrected Non-Compliance</w:t>
            </w:r>
          </w:p>
        </w:tc>
        <w:tc>
          <w:tcPr>
            <w:tcW w:w="2043" w:type="dxa"/>
            <w:tcBorders>
              <w:top w:val="outset" w:sz="24" w:space="0" w:color="auto"/>
              <w:bottom w:val="outset" w:sz="6" w:space="0" w:color="auto"/>
            </w:tcBorders>
            <w:shd w:val="clear" w:color="auto" w:fill="D9D9D9"/>
          </w:tcPr>
          <w:p w:rsidR="00BA10D4" w:rsidRPr="006A6EB0" w:rsidRDefault="00BA10D4" w:rsidP="00BA10D4">
            <w:pPr>
              <w:rPr>
                <w:b/>
                <w:sz w:val="22"/>
                <w:szCs w:val="22"/>
              </w:rPr>
            </w:pPr>
            <w:r w:rsidRPr="006A6EB0">
              <w:rPr>
                <w:b/>
                <w:sz w:val="22"/>
                <w:szCs w:val="22"/>
              </w:rPr>
              <w:t>Comments</w:t>
            </w:r>
          </w:p>
        </w:tc>
      </w:tr>
      <w:tr w:rsidR="00D07A1B" w:rsidTr="00D07A1B">
        <w:trPr>
          <w:trHeight w:val="285"/>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9</w:t>
            </w:r>
            <w:r w:rsidRPr="006A6EB0">
              <w:rPr>
                <w:rStyle w:val="FootnoteReference"/>
                <w:sz w:val="22"/>
                <w:szCs w:val="22"/>
              </w:rPr>
              <w:footnoteReference w:id="2"/>
            </w:r>
          </w:p>
        </w:tc>
        <w:tc>
          <w:tcPr>
            <w:tcW w:w="882" w:type="dxa"/>
            <w:shd w:val="clear" w:color="auto" w:fill="auto"/>
          </w:tcPr>
          <w:p w:rsidR="00BA10D4" w:rsidRPr="006A6EB0" w:rsidRDefault="00BA10D4" w:rsidP="00BA10D4">
            <w:pPr>
              <w:jc w:val="center"/>
              <w:rPr>
                <w:sz w:val="22"/>
                <w:szCs w:val="22"/>
              </w:rPr>
            </w:pPr>
            <w:r w:rsidRPr="006A6EB0">
              <w:rPr>
                <w:sz w:val="22"/>
                <w:szCs w:val="22"/>
              </w:rPr>
              <w:t>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292"/>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10</w:t>
            </w:r>
            <w:r w:rsidRPr="006A6EB0">
              <w:rPr>
                <w:rStyle w:val="FootnoteReference"/>
                <w:sz w:val="22"/>
                <w:szCs w:val="22"/>
              </w:rPr>
              <w:footnoteReference w:id="3"/>
            </w:r>
          </w:p>
        </w:tc>
        <w:tc>
          <w:tcPr>
            <w:tcW w:w="882" w:type="dxa"/>
            <w:shd w:val="clear" w:color="auto" w:fill="auto"/>
          </w:tcPr>
          <w:p w:rsidR="00BA10D4" w:rsidRPr="006A6EB0" w:rsidRDefault="00BA10D4" w:rsidP="00BA10D4">
            <w:pPr>
              <w:jc w:val="center"/>
              <w:rPr>
                <w:sz w:val="22"/>
                <w:szCs w:val="22"/>
              </w:rPr>
            </w:pPr>
            <w:r w:rsidRPr="006A6EB0">
              <w:rPr>
                <w:sz w:val="22"/>
                <w:szCs w:val="22"/>
              </w:rPr>
              <w:t>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292"/>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11</w:t>
            </w:r>
            <w:r w:rsidRPr="006A6EB0">
              <w:rPr>
                <w:rStyle w:val="FootnoteReference"/>
                <w:sz w:val="22"/>
                <w:szCs w:val="22"/>
              </w:rPr>
              <w:footnoteReference w:id="4"/>
            </w:r>
          </w:p>
        </w:tc>
        <w:tc>
          <w:tcPr>
            <w:tcW w:w="882" w:type="dxa"/>
            <w:shd w:val="clear" w:color="auto" w:fill="auto"/>
          </w:tcPr>
          <w:p w:rsidR="00BA10D4" w:rsidRPr="006A6EB0" w:rsidRDefault="00BA10D4" w:rsidP="00BA10D4">
            <w:pPr>
              <w:jc w:val="center"/>
              <w:rPr>
                <w:sz w:val="22"/>
                <w:szCs w:val="22"/>
              </w:rPr>
            </w:pPr>
            <w:r w:rsidRPr="006A6EB0">
              <w:rPr>
                <w:sz w:val="22"/>
                <w:szCs w:val="22"/>
              </w:rPr>
              <w:t>100%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308"/>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12</w:t>
            </w:r>
            <w:r w:rsidRPr="006A6EB0">
              <w:rPr>
                <w:rStyle w:val="FootnoteReference"/>
                <w:sz w:val="22"/>
                <w:szCs w:val="22"/>
              </w:rPr>
              <w:footnoteReference w:id="5"/>
            </w:r>
          </w:p>
        </w:tc>
        <w:tc>
          <w:tcPr>
            <w:tcW w:w="882" w:type="dxa"/>
            <w:shd w:val="clear" w:color="auto" w:fill="auto"/>
          </w:tcPr>
          <w:p w:rsidR="00BA10D4" w:rsidRPr="006A6EB0" w:rsidRDefault="00BA10D4" w:rsidP="00BA10D4">
            <w:pPr>
              <w:jc w:val="center"/>
              <w:rPr>
                <w:sz w:val="22"/>
                <w:szCs w:val="22"/>
              </w:rPr>
            </w:pPr>
            <w:r w:rsidRPr="006A6EB0">
              <w:rPr>
                <w:sz w:val="22"/>
                <w:szCs w:val="22"/>
              </w:rPr>
              <w:t>100%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124"/>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13</w:t>
            </w:r>
            <w:r w:rsidRPr="006A6EB0">
              <w:rPr>
                <w:rStyle w:val="FootnoteReference"/>
                <w:sz w:val="22"/>
                <w:szCs w:val="22"/>
              </w:rPr>
              <w:footnoteReference w:id="6"/>
            </w:r>
          </w:p>
        </w:tc>
        <w:tc>
          <w:tcPr>
            <w:tcW w:w="882" w:type="dxa"/>
            <w:shd w:val="clear" w:color="auto" w:fill="auto"/>
          </w:tcPr>
          <w:p w:rsidR="00BA10D4" w:rsidRPr="006A6EB0" w:rsidRDefault="00BA10D4" w:rsidP="00BA10D4">
            <w:pPr>
              <w:spacing w:line="360" w:lineRule="auto"/>
              <w:jc w:val="center"/>
              <w:rPr>
                <w:sz w:val="22"/>
                <w:szCs w:val="22"/>
              </w:rPr>
            </w:pPr>
            <w:r w:rsidRPr="006A6EB0">
              <w:rPr>
                <w:sz w:val="22"/>
                <w:szCs w:val="22"/>
              </w:rPr>
              <w:t>100%</w:t>
            </w:r>
          </w:p>
        </w:tc>
        <w:tc>
          <w:tcPr>
            <w:tcW w:w="1035" w:type="dxa"/>
            <w:shd w:val="clear" w:color="auto" w:fill="auto"/>
          </w:tcPr>
          <w:p w:rsidR="00BA10D4" w:rsidRPr="006A6EB0" w:rsidRDefault="00BA10D4" w:rsidP="00BA10D4">
            <w:pPr>
              <w:tabs>
                <w:tab w:val="left" w:pos="450"/>
                <w:tab w:val="center" w:pos="903"/>
              </w:tabs>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285"/>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Indicator 15</w:t>
            </w:r>
            <w:r w:rsidRPr="006A6EB0">
              <w:rPr>
                <w:rStyle w:val="FootnoteReference"/>
                <w:sz w:val="22"/>
                <w:szCs w:val="22"/>
              </w:rPr>
              <w:footnoteReference w:id="7"/>
            </w:r>
          </w:p>
        </w:tc>
        <w:tc>
          <w:tcPr>
            <w:tcW w:w="882" w:type="dxa"/>
            <w:shd w:val="clear" w:color="auto" w:fill="auto"/>
          </w:tcPr>
          <w:p w:rsidR="00BA10D4" w:rsidRPr="006A6EB0" w:rsidRDefault="00BA10D4" w:rsidP="00BA10D4">
            <w:pPr>
              <w:jc w:val="center"/>
              <w:rPr>
                <w:sz w:val="22"/>
                <w:szCs w:val="22"/>
              </w:rPr>
            </w:pPr>
            <w:r w:rsidRPr="006A6EB0">
              <w:rPr>
                <w:sz w:val="22"/>
                <w:szCs w:val="22"/>
              </w:rPr>
              <w:t>100%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r w:rsidR="00D07A1B" w:rsidTr="00D07A1B">
        <w:trPr>
          <w:trHeight w:val="124"/>
          <w:tblCellSpacing w:w="20" w:type="dxa"/>
        </w:trPr>
        <w:tc>
          <w:tcPr>
            <w:tcW w:w="1732" w:type="dxa"/>
            <w:shd w:val="clear" w:color="auto" w:fill="auto"/>
          </w:tcPr>
          <w:p w:rsidR="00BA10D4" w:rsidRPr="006A6EB0" w:rsidRDefault="00BA10D4" w:rsidP="00BA10D4">
            <w:pPr>
              <w:rPr>
                <w:sz w:val="22"/>
                <w:szCs w:val="22"/>
              </w:rPr>
            </w:pPr>
            <w:r w:rsidRPr="006A6EB0">
              <w:rPr>
                <w:sz w:val="22"/>
                <w:szCs w:val="22"/>
              </w:rPr>
              <w:t>Audit Findings</w:t>
            </w:r>
            <w:r w:rsidRPr="006A6EB0">
              <w:rPr>
                <w:rStyle w:val="FootnoteReference"/>
                <w:sz w:val="22"/>
                <w:szCs w:val="22"/>
              </w:rPr>
              <w:footnoteReference w:id="8"/>
            </w:r>
          </w:p>
        </w:tc>
        <w:tc>
          <w:tcPr>
            <w:tcW w:w="882" w:type="dxa"/>
            <w:shd w:val="clear" w:color="auto" w:fill="auto"/>
          </w:tcPr>
          <w:p w:rsidR="00BA10D4" w:rsidRPr="006A6EB0" w:rsidRDefault="00BA10D4" w:rsidP="00BA10D4">
            <w:pPr>
              <w:jc w:val="center"/>
              <w:rPr>
                <w:sz w:val="22"/>
                <w:szCs w:val="22"/>
              </w:rPr>
            </w:pPr>
            <w:r w:rsidRPr="006A6EB0">
              <w:rPr>
                <w:sz w:val="22"/>
                <w:szCs w:val="22"/>
              </w:rPr>
              <w:t>100%</w:t>
            </w:r>
          </w:p>
        </w:tc>
        <w:tc>
          <w:tcPr>
            <w:tcW w:w="1035" w:type="dxa"/>
            <w:shd w:val="clear" w:color="auto" w:fill="auto"/>
          </w:tcPr>
          <w:p w:rsidR="00BA10D4" w:rsidRPr="006A6EB0" w:rsidRDefault="00BA10D4" w:rsidP="00BA10D4">
            <w:pPr>
              <w:jc w:val="center"/>
              <w:rPr>
                <w:sz w:val="22"/>
                <w:szCs w:val="22"/>
              </w:rPr>
            </w:pPr>
          </w:p>
        </w:tc>
        <w:tc>
          <w:tcPr>
            <w:tcW w:w="1464" w:type="dxa"/>
            <w:shd w:val="clear" w:color="auto" w:fill="auto"/>
          </w:tcPr>
          <w:p w:rsidR="00BA10D4" w:rsidRPr="006A6EB0" w:rsidRDefault="00BA10D4" w:rsidP="00BA10D4">
            <w:pPr>
              <w:jc w:val="center"/>
              <w:rPr>
                <w:sz w:val="22"/>
                <w:szCs w:val="22"/>
              </w:rPr>
            </w:pPr>
          </w:p>
        </w:tc>
        <w:tc>
          <w:tcPr>
            <w:tcW w:w="1075" w:type="dxa"/>
            <w:shd w:val="clear" w:color="auto" w:fill="auto"/>
          </w:tcPr>
          <w:p w:rsidR="00BA10D4" w:rsidRPr="006A6EB0" w:rsidRDefault="00BA10D4" w:rsidP="00BA10D4">
            <w:pPr>
              <w:jc w:val="center"/>
              <w:rPr>
                <w:sz w:val="22"/>
                <w:szCs w:val="22"/>
              </w:rPr>
            </w:pPr>
          </w:p>
        </w:tc>
        <w:tc>
          <w:tcPr>
            <w:tcW w:w="1400" w:type="dxa"/>
            <w:shd w:val="clear" w:color="auto" w:fill="auto"/>
          </w:tcPr>
          <w:p w:rsidR="00BA10D4" w:rsidRPr="006A6EB0" w:rsidRDefault="00BA10D4" w:rsidP="00BA10D4">
            <w:pPr>
              <w:jc w:val="center"/>
              <w:rPr>
                <w:sz w:val="22"/>
                <w:szCs w:val="22"/>
              </w:rPr>
            </w:pPr>
          </w:p>
        </w:tc>
        <w:tc>
          <w:tcPr>
            <w:tcW w:w="2043" w:type="dxa"/>
            <w:shd w:val="clear" w:color="auto" w:fill="auto"/>
          </w:tcPr>
          <w:p w:rsidR="00BA10D4" w:rsidRPr="006A6EB0" w:rsidRDefault="00BA10D4" w:rsidP="00BA10D4">
            <w:pPr>
              <w:jc w:val="center"/>
              <w:rPr>
                <w:sz w:val="22"/>
                <w:szCs w:val="22"/>
              </w:rPr>
            </w:pPr>
          </w:p>
        </w:tc>
      </w:tr>
    </w:tbl>
    <w:p w:rsidR="00BA10D4" w:rsidRDefault="001371AB" w:rsidP="00BA10D4">
      <w:pPr>
        <w:pStyle w:val="FootnoteText"/>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88265</wp:posOffset>
                </wp:positionV>
                <wp:extent cx="1805940" cy="548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270C" w:rsidRPr="00473F50" w:rsidRDefault="0040270C" w:rsidP="00BA10D4">
                            <w:pPr>
                              <w:jc w:val="center"/>
                              <w:rPr>
                                <w:b/>
                              </w:rPr>
                            </w:pPr>
                            <w:r w:rsidRPr="00473F50">
                              <w:rPr>
                                <w:b/>
                              </w:rPr>
                              <w:t>Legend</w:t>
                            </w:r>
                          </w:p>
                          <w:p w:rsidR="0040270C" w:rsidRDefault="0040270C" w:rsidP="00BA10D4">
                            <w:r w:rsidRPr="00473F50">
                              <w:t>NA= Not Applicable</w:t>
                            </w:r>
                          </w:p>
                          <w:p w:rsidR="0040270C" w:rsidRPr="00473F50" w:rsidRDefault="0040270C" w:rsidP="00BA10D4">
                            <w:r w:rsidRPr="00473F50">
                              <w:t>NMY = Non-monitored year</w:t>
                            </w:r>
                          </w:p>
                          <w:p w:rsidR="0040270C" w:rsidRDefault="0040270C" w:rsidP="00BA1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6.95pt;width:142.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" filled="f">
                <v:textbox>
                  <w:txbxContent>
                    <w:p w:rsidR="0040270C" w:rsidRPr="00473F50" w:rsidRDefault="0040270C" w:rsidP="00BA10D4">
                      <w:pPr>
                        <w:jc w:val="center"/>
                        <w:rPr>
                          <w:b/>
                        </w:rPr>
                      </w:pPr>
                      <w:r w:rsidRPr="00473F50">
                        <w:rPr>
                          <w:b/>
                        </w:rPr>
                        <w:t>Legend</w:t>
                      </w:r>
                    </w:p>
                    <w:p w:rsidR="0040270C" w:rsidRDefault="0040270C" w:rsidP="00BA10D4">
                      <w:r w:rsidRPr="00473F50">
                        <w:t>NA= Not Applicable</w:t>
                      </w:r>
                    </w:p>
                    <w:p w:rsidR="0040270C" w:rsidRPr="00473F50" w:rsidRDefault="0040270C" w:rsidP="00BA10D4">
                      <w:r w:rsidRPr="00473F50">
                        <w:t>NMY = Non-monitored year</w:t>
                      </w:r>
                    </w:p>
                    <w:p w:rsidR="0040270C" w:rsidRDefault="0040270C" w:rsidP="00BA10D4"/>
                  </w:txbxContent>
                </v:textbox>
              </v:shape>
            </w:pict>
          </mc:Fallback>
        </mc:AlternateContent>
      </w:r>
    </w:p>
    <w:tbl>
      <w:tblPr>
        <w:tblpPr w:leftFromText="180" w:rightFromText="180" w:vertAnchor="text" w:horzAnchor="page" w:tblpX="6994"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078"/>
      </w:tblGrid>
      <w:tr w:rsidR="00BA10D4" w:rsidRPr="006A6EB0" w:rsidTr="00BA10D4">
        <w:trPr>
          <w:trHeight w:val="350"/>
        </w:trPr>
        <w:tc>
          <w:tcPr>
            <w:tcW w:w="4248" w:type="dxa"/>
            <w:gridSpan w:val="2"/>
            <w:shd w:val="clear" w:color="auto" w:fill="D9D9D9"/>
          </w:tcPr>
          <w:p w:rsidR="00BA10D4" w:rsidRPr="006A6EB0" w:rsidRDefault="00BA10D4" w:rsidP="00BA10D4">
            <w:pPr>
              <w:pStyle w:val="FootnoteText"/>
              <w:jc w:val="center"/>
              <w:rPr>
                <w:b/>
                <w:sz w:val="22"/>
                <w:szCs w:val="22"/>
              </w:rPr>
            </w:pPr>
            <w:r w:rsidRPr="006A6EB0">
              <w:rPr>
                <w:b/>
                <w:sz w:val="22"/>
                <w:szCs w:val="22"/>
              </w:rPr>
              <w:t>Determination Scale</w:t>
            </w:r>
          </w:p>
        </w:tc>
      </w:tr>
      <w:tr w:rsidR="00BA10D4" w:rsidRPr="006A6EB0" w:rsidTr="00BA10D4">
        <w:trPr>
          <w:trHeight w:val="323"/>
        </w:trPr>
        <w:tc>
          <w:tcPr>
            <w:tcW w:w="1170" w:type="dxa"/>
            <w:shd w:val="clear" w:color="auto" w:fill="auto"/>
          </w:tcPr>
          <w:p w:rsidR="00BA10D4" w:rsidRPr="006A6EB0" w:rsidRDefault="00BA10D4" w:rsidP="00BA10D4">
            <w:pPr>
              <w:pStyle w:val="FootnoteText"/>
              <w:rPr>
                <w:b/>
                <w:sz w:val="22"/>
                <w:szCs w:val="22"/>
              </w:rPr>
            </w:pPr>
            <w:r w:rsidRPr="006A6EB0">
              <w:rPr>
                <w:b/>
                <w:sz w:val="22"/>
                <w:szCs w:val="22"/>
              </w:rPr>
              <w:t>Points</w:t>
            </w:r>
          </w:p>
        </w:tc>
        <w:tc>
          <w:tcPr>
            <w:tcW w:w="3078" w:type="dxa"/>
            <w:shd w:val="clear" w:color="auto" w:fill="auto"/>
          </w:tcPr>
          <w:p w:rsidR="00BA10D4" w:rsidRPr="006A6EB0" w:rsidRDefault="00BA10D4" w:rsidP="00BA10D4">
            <w:pPr>
              <w:pStyle w:val="FootnoteText"/>
              <w:rPr>
                <w:b/>
                <w:sz w:val="22"/>
                <w:szCs w:val="22"/>
              </w:rPr>
            </w:pPr>
            <w:r w:rsidRPr="006A6EB0">
              <w:rPr>
                <w:b/>
                <w:sz w:val="22"/>
                <w:szCs w:val="22"/>
              </w:rPr>
              <w:t>Levels</w:t>
            </w:r>
          </w:p>
        </w:tc>
      </w:tr>
      <w:tr w:rsidR="00BA10D4" w:rsidRPr="006A6EB0" w:rsidTr="00BA10D4">
        <w:tc>
          <w:tcPr>
            <w:tcW w:w="1170" w:type="dxa"/>
            <w:shd w:val="clear" w:color="auto" w:fill="auto"/>
          </w:tcPr>
          <w:p w:rsidR="00BA10D4" w:rsidRPr="006A6EB0" w:rsidRDefault="00BA10D4" w:rsidP="00BA10D4">
            <w:pPr>
              <w:pStyle w:val="FootnoteText"/>
              <w:rPr>
                <w:sz w:val="22"/>
                <w:szCs w:val="22"/>
              </w:rPr>
            </w:pPr>
            <w:r w:rsidRPr="006A6EB0">
              <w:rPr>
                <w:sz w:val="22"/>
                <w:szCs w:val="22"/>
              </w:rPr>
              <w:t>42 to 36</w:t>
            </w:r>
          </w:p>
        </w:tc>
        <w:tc>
          <w:tcPr>
            <w:tcW w:w="3078" w:type="dxa"/>
            <w:shd w:val="clear" w:color="auto" w:fill="auto"/>
          </w:tcPr>
          <w:p w:rsidR="00BA10D4" w:rsidRPr="006A6EB0" w:rsidRDefault="00BA10D4" w:rsidP="00BA10D4">
            <w:pPr>
              <w:pStyle w:val="FootnoteText"/>
              <w:rPr>
                <w:sz w:val="22"/>
                <w:szCs w:val="22"/>
              </w:rPr>
            </w:pPr>
            <w:r w:rsidRPr="006A6EB0">
              <w:rPr>
                <w:sz w:val="22"/>
                <w:szCs w:val="22"/>
              </w:rPr>
              <w:t>Meets the Requirements</w:t>
            </w:r>
          </w:p>
        </w:tc>
      </w:tr>
      <w:tr w:rsidR="00BA10D4" w:rsidRPr="006A6EB0" w:rsidTr="00BA10D4">
        <w:tc>
          <w:tcPr>
            <w:tcW w:w="1170" w:type="dxa"/>
            <w:shd w:val="clear" w:color="auto" w:fill="auto"/>
          </w:tcPr>
          <w:p w:rsidR="00BA10D4" w:rsidRPr="006A6EB0" w:rsidRDefault="00BA10D4" w:rsidP="00BA10D4">
            <w:pPr>
              <w:pStyle w:val="FootnoteText"/>
              <w:rPr>
                <w:sz w:val="22"/>
                <w:szCs w:val="22"/>
              </w:rPr>
            </w:pPr>
            <w:r w:rsidRPr="006A6EB0">
              <w:rPr>
                <w:sz w:val="22"/>
                <w:szCs w:val="22"/>
              </w:rPr>
              <w:t xml:space="preserve">35 to 30 </w:t>
            </w:r>
          </w:p>
        </w:tc>
        <w:tc>
          <w:tcPr>
            <w:tcW w:w="3078" w:type="dxa"/>
            <w:shd w:val="clear" w:color="auto" w:fill="auto"/>
          </w:tcPr>
          <w:p w:rsidR="00BA10D4" w:rsidRPr="006A6EB0" w:rsidRDefault="00BA10D4" w:rsidP="00BA10D4">
            <w:pPr>
              <w:pStyle w:val="FootnoteText"/>
              <w:rPr>
                <w:sz w:val="22"/>
                <w:szCs w:val="22"/>
              </w:rPr>
            </w:pPr>
            <w:r w:rsidRPr="006A6EB0">
              <w:rPr>
                <w:sz w:val="22"/>
                <w:szCs w:val="22"/>
              </w:rPr>
              <w:t>Needs Assistance</w:t>
            </w:r>
          </w:p>
        </w:tc>
      </w:tr>
      <w:tr w:rsidR="00BA10D4" w:rsidRPr="006A6EB0" w:rsidTr="00BA10D4">
        <w:trPr>
          <w:trHeight w:val="305"/>
        </w:trPr>
        <w:tc>
          <w:tcPr>
            <w:tcW w:w="1170" w:type="dxa"/>
            <w:shd w:val="clear" w:color="auto" w:fill="auto"/>
          </w:tcPr>
          <w:p w:rsidR="00BA10D4" w:rsidRPr="006A6EB0" w:rsidRDefault="00BA10D4" w:rsidP="00BA10D4">
            <w:pPr>
              <w:pStyle w:val="FootnoteText"/>
              <w:rPr>
                <w:sz w:val="22"/>
                <w:szCs w:val="22"/>
              </w:rPr>
            </w:pPr>
            <w:r w:rsidRPr="006A6EB0">
              <w:rPr>
                <w:sz w:val="22"/>
                <w:szCs w:val="22"/>
              </w:rPr>
              <w:t>29 to 22</w:t>
            </w:r>
          </w:p>
        </w:tc>
        <w:tc>
          <w:tcPr>
            <w:tcW w:w="3078" w:type="dxa"/>
            <w:shd w:val="clear" w:color="auto" w:fill="auto"/>
          </w:tcPr>
          <w:p w:rsidR="00BA10D4" w:rsidRPr="006A6EB0" w:rsidRDefault="00BA10D4" w:rsidP="00BA10D4">
            <w:pPr>
              <w:pStyle w:val="FootnoteText"/>
              <w:rPr>
                <w:sz w:val="22"/>
                <w:szCs w:val="22"/>
              </w:rPr>
            </w:pPr>
            <w:r w:rsidRPr="006A6EB0">
              <w:rPr>
                <w:sz w:val="22"/>
                <w:szCs w:val="22"/>
              </w:rPr>
              <w:t>Needs Intervention</w:t>
            </w:r>
          </w:p>
        </w:tc>
      </w:tr>
      <w:tr w:rsidR="00BA10D4" w:rsidRPr="006A6EB0" w:rsidTr="00BA10D4">
        <w:trPr>
          <w:trHeight w:val="332"/>
        </w:trPr>
        <w:tc>
          <w:tcPr>
            <w:tcW w:w="1170" w:type="dxa"/>
            <w:shd w:val="clear" w:color="auto" w:fill="auto"/>
          </w:tcPr>
          <w:p w:rsidR="00BA10D4" w:rsidRPr="006A6EB0" w:rsidRDefault="00BA10D4" w:rsidP="00BA10D4">
            <w:pPr>
              <w:pStyle w:val="FootnoteText"/>
              <w:rPr>
                <w:sz w:val="22"/>
                <w:szCs w:val="22"/>
              </w:rPr>
            </w:pPr>
            <w:r w:rsidRPr="006A6EB0">
              <w:rPr>
                <w:sz w:val="22"/>
                <w:szCs w:val="22"/>
              </w:rPr>
              <w:t>21 to 0</w:t>
            </w:r>
          </w:p>
        </w:tc>
        <w:tc>
          <w:tcPr>
            <w:tcW w:w="3078" w:type="dxa"/>
            <w:shd w:val="clear" w:color="auto" w:fill="auto"/>
          </w:tcPr>
          <w:p w:rsidR="00BA10D4" w:rsidRPr="006A6EB0" w:rsidRDefault="00BA10D4" w:rsidP="00BA10D4">
            <w:pPr>
              <w:pStyle w:val="FootnoteText"/>
              <w:rPr>
                <w:sz w:val="22"/>
                <w:szCs w:val="22"/>
              </w:rPr>
            </w:pPr>
            <w:r w:rsidRPr="006A6EB0">
              <w:rPr>
                <w:sz w:val="22"/>
                <w:szCs w:val="22"/>
              </w:rPr>
              <w:t>Needs Substantial Intervention</w:t>
            </w:r>
          </w:p>
        </w:tc>
      </w:tr>
    </w:tbl>
    <w:p w:rsidR="00BA10D4" w:rsidRDefault="00BA10D4" w:rsidP="00BA10D4">
      <w:pPr>
        <w:pStyle w:val="FootnoteText"/>
        <w:rPr>
          <w:sz w:val="18"/>
          <w:szCs w:val="18"/>
        </w:rPr>
      </w:pPr>
    </w:p>
    <w:p w:rsidR="00BA10D4" w:rsidRDefault="00BA10D4" w:rsidP="00BA10D4">
      <w:pPr>
        <w:pStyle w:val="FootnoteText"/>
        <w:rPr>
          <w:sz w:val="18"/>
          <w:szCs w:val="18"/>
        </w:rPr>
      </w:pPr>
    </w:p>
    <w:p w:rsidR="00BA10D4" w:rsidRDefault="00BA10D4" w:rsidP="00BA10D4">
      <w:pPr>
        <w:pStyle w:val="FootnoteText"/>
        <w:rPr>
          <w:sz w:val="18"/>
          <w:szCs w:val="18"/>
        </w:rPr>
      </w:pPr>
    </w:p>
    <w:p w:rsidR="00BA10D4" w:rsidRDefault="00BA10D4" w:rsidP="00BA10D4">
      <w:pPr>
        <w:pStyle w:val="FootnoteText"/>
        <w:rPr>
          <w:sz w:val="18"/>
          <w:szCs w:val="18"/>
        </w:rPr>
      </w:pPr>
    </w:p>
    <w:p w:rsidR="00BA10D4" w:rsidRDefault="00BA10D4" w:rsidP="00BA10D4">
      <w:pPr>
        <w:pStyle w:val="FootnoteText"/>
        <w:rPr>
          <w:sz w:val="18"/>
          <w:szCs w:val="18"/>
        </w:rPr>
      </w:pPr>
    </w:p>
    <w:p w:rsidR="00BA10D4" w:rsidRDefault="00BA10D4" w:rsidP="00BA10D4">
      <w:pPr>
        <w:pStyle w:val="FootnoteText"/>
        <w:rPr>
          <w:sz w:val="18"/>
          <w:szCs w:val="18"/>
        </w:rPr>
      </w:pPr>
    </w:p>
    <w:p w:rsidR="00BA10D4" w:rsidRDefault="00BA10D4" w:rsidP="00BA10D4">
      <w:pPr>
        <w:pStyle w:val="FootnoteText"/>
        <w:rPr>
          <w:rFonts w:ascii="Arial" w:hAnsi="Arial" w:cs="Arial"/>
          <w:b/>
          <w:sz w:val="24"/>
          <w:szCs w:val="24"/>
        </w:rPr>
      </w:pPr>
    </w:p>
    <w:p w:rsidR="00D07A1B" w:rsidRDefault="00D07A1B" w:rsidP="00BA10D4">
      <w:pPr>
        <w:pStyle w:val="FootnoteText"/>
        <w:rPr>
          <w:rFonts w:ascii="Arial" w:hAnsi="Arial" w:cs="Arial"/>
          <w:b/>
          <w:sz w:val="24"/>
          <w:szCs w:val="24"/>
        </w:rPr>
      </w:pPr>
    </w:p>
    <w:p w:rsidR="00BA10D4" w:rsidRDefault="00365944" w:rsidP="00BA10D4">
      <w:pPr>
        <w:pStyle w:val="FootnoteText"/>
        <w:rPr>
          <w:rFonts w:ascii="Arial" w:hAnsi="Arial" w:cs="Arial"/>
          <w:b/>
          <w:sz w:val="24"/>
          <w:szCs w:val="24"/>
        </w:rPr>
      </w:pPr>
      <w:r>
        <w:rPr>
          <w:rFonts w:ascii="Arial" w:hAnsi="Arial" w:cs="Arial"/>
          <w:b/>
          <w:sz w:val="24"/>
          <w:szCs w:val="24"/>
        </w:rPr>
        <w:t xml:space="preserve">XXXXXX  </w:t>
      </w:r>
      <w:r w:rsidR="00BA10D4" w:rsidRPr="00A84E6E">
        <w:rPr>
          <w:rFonts w:ascii="Arial" w:hAnsi="Arial" w:cs="Arial"/>
          <w:b/>
          <w:sz w:val="24"/>
          <w:szCs w:val="24"/>
        </w:rPr>
        <w:t>Determination Level</w:t>
      </w:r>
    </w:p>
    <w:p w:rsidR="00D07A1B" w:rsidRPr="00A84E6E" w:rsidRDefault="00D07A1B" w:rsidP="00BA10D4">
      <w:pPr>
        <w:pStyle w:val="FootnoteText"/>
        <w:rPr>
          <w:rFonts w:ascii="Arial" w:hAnsi="Arial" w:cs="Arial"/>
          <w:b/>
          <w:sz w:val="24"/>
          <w:szCs w:val="24"/>
        </w:rPr>
      </w:pPr>
    </w:p>
    <w:tbl>
      <w:tblPr>
        <w:tblW w:w="0" w:type="auto"/>
        <w:tblBorders>
          <w:insideH w:val="single" w:sz="18" w:space="0" w:color="FFFFFF"/>
          <w:insideV w:val="single" w:sz="18" w:space="0" w:color="FFFFFF"/>
        </w:tblBorders>
        <w:tblLook w:val="01E0" w:firstRow="1" w:lastRow="1" w:firstColumn="1" w:lastColumn="1" w:noHBand="0" w:noVBand="0"/>
      </w:tblPr>
      <w:tblGrid>
        <w:gridCol w:w="3484"/>
        <w:gridCol w:w="3041"/>
        <w:gridCol w:w="3771"/>
      </w:tblGrid>
      <w:tr w:rsidR="00D07A1B" w:rsidRPr="006A6EB0" w:rsidTr="00D07A1B">
        <w:trPr>
          <w:trHeight w:val="437"/>
        </w:trPr>
        <w:tc>
          <w:tcPr>
            <w:tcW w:w="3484" w:type="dxa"/>
            <w:shd w:val="pct20" w:color="000000" w:fill="FFFFFF"/>
          </w:tcPr>
          <w:p w:rsidR="00D07A1B" w:rsidRPr="006A6EB0" w:rsidRDefault="00D07A1B" w:rsidP="00D07A1B">
            <w:pPr>
              <w:rPr>
                <w:rFonts w:ascii="Arial" w:hAnsi="Arial" w:cs="Arial"/>
                <w:b/>
                <w:bCs/>
                <w:sz w:val="24"/>
                <w:szCs w:val="24"/>
              </w:rPr>
            </w:pPr>
            <w:r w:rsidRPr="006A6EB0">
              <w:rPr>
                <w:rFonts w:ascii="Arial" w:hAnsi="Arial" w:cs="Arial"/>
                <w:b/>
                <w:bCs/>
                <w:sz w:val="24"/>
                <w:szCs w:val="24"/>
              </w:rPr>
              <w:t>A.  Total # of points possible</w:t>
            </w:r>
          </w:p>
        </w:tc>
        <w:tc>
          <w:tcPr>
            <w:tcW w:w="3041" w:type="dxa"/>
            <w:shd w:val="pct20" w:color="000000" w:fill="FFFFFF"/>
          </w:tcPr>
          <w:p w:rsidR="00D07A1B" w:rsidRPr="006A6EB0" w:rsidRDefault="00D07A1B" w:rsidP="00D07A1B">
            <w:pPr>
              <w:jc w:val="center"/>
              <w:rPr>
                <w:rFonts w:ascii="Arial" w:hAnsi="Arial" w:cs="Arial"/>
                <w:b/>
                <w:bCs/>
                <w:sz w:val="24"/>
                <w:szCs w:val="24"/>
              </w:rPr>
            </w:pPr>
            <w:r w:rsidRPr="006A6EB0">
              <w:rPr>
                <w:rFonts w:ascii="Arial" w:hAnsi="Arial" w:cs="Arial"/>
                <w:b/>
                <w:bCs/>
                <w:sz w:val="24"/>
                <w:szCs w:val="24"/>
              </w:rPr>
              <w:t>B. # of points earned</w:t>
            </w:r>
          </w:p>
        </w:tc>
        <w:tc>
          <w:tcPr>
            <w:tcW w:w="3771" w:type="dxa"/>
            <w:shd w:val="pct20" w:color="000000" w:fill="FFFFFF"/>
          </w:tcPr>
          <w:p w:rsidR="00D07A1B" w:rsidRPr="006A6EB0" w:rsidRDefault="00D07A1B" w:rsidP="00D07A1B">
            <w:pPr>
              <w:jc w:val="center"/>
              <w:rPr>
                <w:rFonts w:ascii="Arial" w:hAnsi="Arial" w:cs="Arial"/>
                <w:b/>
                <w:bCs/>
                <w:sz w:val="24"/>
                <w:szCs w:val="24"/>
              </w:rPr>
            </w:pPr>
            <w:r w:rsidRPr="006A6EB0">
              <w:rPr>
                <w:rFonts w:ascii="Arial" w:hAnsi="Arial" w:cs="Arial"/>
                <w:b/>
                <w:bCs/>
                <w:sz w:val="24"/>
                <w:szCs w:val="24"/>
              </w:rPr>
              <w:t>C.  Determination</w:t>
            </w:r>
          </w:p>
        </w:tc>
      </w:tr>
    </w:tbl>
    <w:p w:rsidR="0040270C" w:rsidRDefault="0040270C" w:rsidP="00074407"/>
    <w:p w:rsidR="00894B60" w:rsidRPr="00894B60" w:rsidRDefault="0040270C" w:rsidP="00894B60">
      <w:pPr>
        <w:rPr>
          <w:rFonts w:ascii="Verdana" w:hAnsi="Verdana"/>
          <w:color w:val="000000"/>
          <w:sz w:val="22"/>
          <w:szCs w:val="22"/>
        </w:rPr>
      </w:pPr>
      <w:r>
        <w:br w:type="page"/>
      </w:r>
      <w:r w:rsidR="00894B60" w:rsidRPr="00894B60">
        <w:rPr>
          <w:rFonts w:ascii="Verdana" w:hAnsi="Verdana"/>
          <w:b/>
          <w:bCs/>
          <w:color w:val="000000"/>
          <w:sz w:val="22"/>
          <w:szCs w:val="22"/>
        </w:rPr>
        <w:lastRenderedPageBreak/>
        <w:t xml:space="preserve">24:05:20:23. Compliance. </w:t>
      </w:r>
      <w:r w:rsidR="00894B60" w:rsidRPr="00894B60">
        <w:rPr>
          <w:rFonts w:ascii="Verdana" w:hAnsi="Verdana"/>
          <w:color w:val="000000"/>
          <w:sz w:val="22"/>
          <w:szCs w:val="22"/>
        </w:rPr>
        <w:t xml:space="preserve">If a school district either fails to voluntarily take steps to correct an identified deficiency or fails to take any of the corrective actions specified by the department or incorporated in a corrective action plan submitted by the school district and approved by the department, the department must notify the school district of the following: </w:t>
      </w: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color w:val="000000"/>
          <w:sz w:val="22"/>
          <w:szCs w:val="22"/>
        </w:rPr>
        <w:t xml:space="preserve">(1) The failure to voluntarily correct an identified deficiency constitutes a failure on their part to administer their special education program in compliance with federal law; </w:t>
      </w: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color w:val="000000"/>
          <w:sz w:val="22"/>
          <w:szCs w:val="22"/>
        </w:rPr>
        <w:t xml:space="preserve">(2) The actions the department intends to take in order to enforce compliance with state and federal law; </w:t>
      </w: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color w:val="000000"/>
          <w:sz w:val="22"/>
          <w:szCs w:val="22"/>
        </w:rPr>
        <w:t xml:space="preserve">(3) The right to a hearing prior to the department's exercise of its enforcement responsibility; and </w:t>
      </w: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color w:val="000000"/>
          <w:sz w:val="22"/>
          <w:szCs w:val="22"/>
        </w:rPr>
        <w:t xml:space="preserve">(4) The consequence the department's enforcement action would have on continued and future state and federal funding of that school district's special education programs. </w:t>
      </w:r>
    </w:p>
    <w:p w:rsidR="00894B60" w:rsidRDefault="00894B60" w:rsidP="00894B60">
      <w:pPr>
        <w:autoSpaceDE w:val="0"/>
        <w:autoSpaceDN w:val="0"/>
        <w:adjustRightInd w:val="0"/>
        <w:rPr>
          <w:rFonts w:ascii="Verdana" w:hAnsi="Verdana"/>
          <w:b/>
          <w:bCs/>
          <w:color w:val="000000"/>
          <w:sz w:val="22"/>
          <w:szCs w:val="22"/>
        </w:rPr>
      </w:pP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b/>
          <w:bCs/>
          <w:color w:val="000000"/>
          <w:sz w:val="22"/>
          <w:szCs w:val="22"/>
        </w:rPr>
        <w:t xml:space="preserve">Source: </w:t>
      </w:r>
      <w:r w:rsidRPr="00894B60">
        <w:rPr>
          <w:rFonts w:ascii="Verdana" w:hAnsi="Verdana"/>
          <w:color w:val="000000"/>
          <w:sz w:val="22"/>
          <w:szCs w:val="22"/>
        </w:rPr>
        <w:t xml:space="preserve">16 SDR 41, effective September 7, 1989; 23 SDR 31, effective September 8, 1996; 33 SDR 236, effective July 5, 2007. </w:t>
      </w:r>
    </w:p>
    <w:p w:rsidR="00894B60" w:rsidRPr="00894B60" w:rsidRDefault="00894B60" w:rsidP="00894B60">
      <w:pPr>
        <w:autoSpaceDE w:val="0"/>
        <w:autoSpaceDN w:val="0"/>
        <w:adjustRightInd w:val="0"/>
        <w:rPr>
          <w:rFonts w:ascii="Verdana" w:hAnsi="Verdana"/>
          <w:color w:val="000000"/>
          <w:sz w:val="22"/>
          <w:szCs w:val="22"/>
        </w:rPr>
      </w:pPr>
      <w:r w:rsidRPr="00894B60">
        <w:rPr>
          <w:rFonts w:ascii="Verdana" w:hAnsi="Verdana"/>
          <w:b/>
          <w:bCs/>
          <w:color w:val="000000"/>
          <w:sz w:val="22"/>
          <w:szCs w:val="22"/>
        </w:rPr>
        <w:t xml:space="preserve">General Authority: </w:t>
      </w:r>
      <w:r w:rsidRPr="00894B60">
        <w:rPr>
          <w:rFonts w:ascii="Verdana" w:hAnsi="Verdana"/>
          <w:color w:val="000000"/>
          <w:sz w:val="22"/>
          <w:szCs w:val="22"/>
        </w:rPr>
        <w:t xml:space="preserve">SDCL 13-37-1.1. </w:t>
      </w:r>
    </w:p>
    <w:p w:rsidR="00BA10D4" w:rsidRDefault="00894B60" w:rsidP="00894B60">
      <w:pPr>
        <w:rPr>
          <w:rFonts w:ascii="Verdana" w:hAnsi="Verdana"/>
          <w:color w:val="000000"/>
          <w:sz w:val="22"/>
          <w:szCs w:val="22"/>
        </w:rPr>
      </w:pPr>
      <w:r w:rsidRPr="00894B60">
        <w:rPr>
          <w:rFonts w:ascii="Verdana" w:hAnsi="Verdana"/>
          <w:b/>
          <w:bCs/>
          <w:color w:val="000000"/>
          <w:sz w:val="22"/>
          <w:szCs w:val="22"/>
        </w:rPr>
        <w:t xml:space="preserve">Law Implemented: </w:t>
      </w:r>
      <w:r w:rsidRPr="00894B60">
        <w:rPr>
          <w:rFonts w:ascii="Verdana" w:hAnsi="Verdana"/>
          <w:color w:val="000000"/>
          <w:sz w:val="22"/>
          <w:szCs w:val="22"/>
        </w:rPr>
        <w:t>SDCL 13-37-1.1.</w:t>
      </w:r>
    </w:p>
    <w:p w:rsidR="00894B60" w:rsidRDefault="00894B60" w:rsidP="00894B60">
      <w:pPr>
        <w:rPr>
          <w:rFonts w:ascii="Verdana" w:hAnsi="Verdana"/>
          <w:color w:val="000000"/>
          <w:sz w:val="22"/>
          <w:szCs w:val="22"/>
        </w:rPr>
      </w:pPr>
    </w:p>
    <w:p w:rsidR="00A6376B" w:rsidRPr="00A6376B" w:rsidRDefault="00A6376B" w:rsidP="00A6376B">
      <w:pPr>
        <w:rPr>
          <w:rFonts w:ascii="Verdana" w:hAnsi="Verdana"/>
          <w:sz w:val="22"/>
          <w:szCs w:val="22"/>
        </w:rPr>
      </w:pPr>
      <w:r w:rsidRPr="00A6376B">
        <w:rPr>
          <w:rFonts w:ascii="Verdana" w:hAnsi="Verdana"/>
          <w:b/>
          <w:bCs/>
          <w:sz w:val="22"/>
          <w:szCs w:val="22"/>
        </w:rPr>
        <w:t>ARSD 24:43:07:01.  Warnings, denial, suspension, or revocation of accreditation or approval.</w:t>
      </w:r>
      <w:r w:rsidRPr="00A6376B">
        <w:rPr>
          <w:rFonts w:ascii="Verdana" w:hAnsi="Verdana"/>
          <w:sz w:val="22"/>
          <w:szCs w:val="22"/>
        </w:rPr>
        <w:t xml:space="preserve"> An adverse action against an application for accredited or approval status, or against a currently-in-effect accreditation or approval may be initiated by the secretary of education for just cause at any time. The adverse action may include a warning, denial, suspension, or revocation of the accredited or approved status. Until a final determination is made according to § 24:43:07:07, the school district or nonpublic entity is designated as "on probation." The change in accredited or approved status is available to the public in department publications and on the department's website.</w:t>
      </w:r>
    </w:p>
    <w:p w:rsidR="00A6376B" w:rsidRPr="00A6376B" w:rsidRDefault="00A6376B" w:rsidP="00A6376B">
      <w:pPr>
        <w:rPr>
          <w:rFonts w:ascii="Verdana" w:hAnsi="Verdana"/>
          <w:b/>
          <w:bCs/>
          <w:sz w:val="22"/>
          <w:szCs w:val="22"/>
        </w:rPr>
      </w:pPr>
    </w:p>
    <w:p w:rsidR="00A6376B" w:rsidRPr="00A6376B" w:rsidRDefault="00A6376B" w:rsidP="00A6376B">
      <w:pPr>
        <w:rPr>
          <w:rFonts w:ascii="Verdana" w:hAnsi="Verdana"/>
          <w:b/>
          <w:sz w:val="22"/>
          <w:szCs w:val="22"/>
        </w:rPr>
      </w:pPr>
      <w:r w:rsidRPr="00A6376B">
        <w:rPr>
          <w:rFonts w:ascii="Verdana" w:hAnsi="Verdana"/>
          <w:b/>
          <w:bCs/>
          <w:sz w:val="22"/>
          <w:szCs w:val="22"/>
        </w:rPr>
        <w:t>ARSD 24:43:07:03.  Warning and plan of corrective action.</w:t>
      </w:r>
      <w:r w:rsidRPr="00A6376B">
        <w:rPr>
          <w:rFonts w:ascii="Verdana" w:hAnsi="Verdana"/>
          <w:sz w:val="22"/>
          <w:szCs w:val="22"/>
        </w:rPr>
        <w:t xml:space="preserve"> An accredited public school district or approved nonpublic entity that is found in violation of a state law or administrative rule required for the accredited or approved status will be issued a letter of warning by the secretary of education. The letter will cite the law or administrative rule or both and state the alleged violation that caused the warning to be issued, and will set forth timelines for submission of a plan of corrective action.</w:t>
      </w:r>
    </w:p>
    <w:p w:rsidR="00A6376B" w:rsidRPr="00A6376B" w:rsidRDefault="00A6376B" w:rsidP="00A6376B">
      <w:pPr>
        <w:rPr>
          <w:rFonts w:ascii="Verdana" w:hAnsi="Verdana"/>
          <w:b/>
          <w:bCs/>
          <w:sz w:val="22"/>
          <w:szCs w:val="22"/>
        </w:rPr>
      </w:pPr>
    </w:p>
    <w:p w:rsidR="00A6376B" w:rsidRPr="00A6376B" w:rsidRDefault="00A6376B" w:rsidP="00A6376B">
      <w:pPr>
        <w:rPr>
          <w:rFonts w:ascii="Verdana" w:hAnsi="Verdana"/>
          <w:sz w:val="22"/>
          <w:szCs w:val="22"/>
        </w:rPr>
      </w:pPr>
      <w:r w:rsidRPr="00A6376B">
        <w:rPr>
          <w:rFonts w:ascii="Verdana" w:hAnsi="Verdana"/>
          <w:b/>
          <w:bCs/>
          <w:sz w:val="22"/>
          <w:szCs w:val="22"/>
        </w:rPr>
        <w:t>ARSD 24:43:07:04.  Suspension or revocation for uncorrected violations.</w:t>
      </w:r>
      <w:r w:rsidRPr="00A6376B">
        <w:rPr>
          <w:rFonts w:ascii="Verdana" w:hAnsi="Verdana"/>
          <w:sz w:val="22"/>
          <w:szCs w:val="22"/>
        </w:rPr>
        <w:t xml:space="preserve"> An accredited public school district or approved nonpublic entity that does not present a plan of corrective action that corrects the violation within stated timelines, or that fails to implement a plan of corrective action with stated timelines, shall be recommended to the secretary of education for the status of "on probation" until a final determination is made or until satisfactory evidence of correction of the violation is presented to the Department of Education.</w:t>
      </w:r>
    </w:p>
    <w:p w:rsidR="00894B60" w:rsidRPr="00894B60" w:rsidRDefault="00894B60" w:rsidP="00894B60">
      <w:pPr>
        <w:rPr>
          <w:rFonts w:ascii="Verdana" w:hAnsi="Verdana"/>
          <w:sz w:val="22"/>
          <w:szCs w:val="22"/>
        </w:rPr>
      </w:pPr>
    </w:p>
    <w:sectPr w:rsidR="00894B60" w:rsidRPr="00894B60" w:rsidSect="00BA10D4">
      <w:footerReference w:type="default" r:id="rId9"/>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CD" w:rsidRDefault="001223CD">
      <w:r>
        <w:separator/>
      </w:r>
    </w:p>
  </w:endnote>
  <w:endnote w:type="continuationSeparator" w:id="0">
    <w:p w:rsidR="001223CD" w:rsidRDefault="0012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89" w:rsidRPr="00706789" w:rsidRDefault="00706789" w:rsidP="00706789">
    <w:pPr>
      <w:pStyle w:val="Footer"/>
      <w:pBdr>
        <w:top w:val="thinThickSmallGap" w:sz="24" w:space="1" w:color="622423"/>
      </w:pBdr>
      <w:tabs>
        <w:tab w:val="clear" w:pos="4320"/>
        <w:tab w:val="clear" w:pos="8640"/>
        <w:tab w:val="right" w:pos="10080"/>
      </w:tabs>
      <w:rPr>
        <w:rFonts w:ascii="Cambria" w:hAnsi="Cambria"/>
      </w:rPr>
    </w:pPr>
    <w:r>
      <w:rPr>
        <w:rFonts w:ascii="Cambria" w:hAnsi="Cambria"/>
      </w:rPr>
      <w:t>Updated July 1, 2013                                        South Dakota Department of Education</w:t>
    </w:r>
    <w:r w:rsidRPr="00706789">
      <w:rPr>
        <w:rFonts w:ascii="Cambria" w:hAnsi="Cambria"/>
      </w:rPr>
      <w:tab/>
      <w:t xml:space="preserve">Page </w:t>
    </w:r>
    <w:r w:rsidRPr="00706789">
      <w:rPr>
        <w:rFonts w:ascii="Calibri" w:hAnsi="Calibri"/>
      </w:rPr>
      <w:fldChar w:fldCharType="begin"/>
    </w:r>
    <w:r>
      <w:instrText xml:space="preserve"> PAGE   \* MERGEFORMAT </w:instrText>
    </w:r>
    <w:r w:rsidRPr="00706789">
      <w:rPr>
        <w:rFonts w:ascii="Calibri" w:hAnsi="Calibri"/>
      </w:rPr>
      <w:fldChar w:fldCharType="separate"/>
    </w:r>
    <w:r w:rsidR="001371AB" w:rsidRPr="001371AB">
      <w:rPr>
        <w:rFonts w:ascii="Cambria" w:hAnsi="Cambria"/>
        <w:noProof/>
      </w:rPr>
      <w:t>1</w:t>
    </w:r>
    <w:r w:rsidRPr="00706789">
      <w:rPr>
        <w:rFonts w:ascii="Cambria" w:hAnsi="Cambria"/>
        <w:noProof/>
      </w:rPr>
      <w:fldChar w:fldCharType="end"/>
    </w:r>
  </w:p>
  <w:p w:rsidR="0040270C" w:rsidRDefault="0040270C" w:rsidP="00706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CD" w:rsidRDefault="001223CD">
      <w:r>
        <w:separator/>
      </w:r>
    </w:p>
  </w:footnote>
  <w:footnote w:type="continuationSeparator" w:id="0">
    <w:p w:rsidR="001223CD" w:rsidRDefault="001223CD">
      <w:r>
        <w:continuationSeparator/>
      </w:r>
    </w:p>
  </w:footnote>
  <w:footnote w:id="1">
    <w:p w:rsidR="0040270C"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Timely, valid, and reliable data: All required data requested for state performance plan, 618 data tables, child count audits and other state requirements.</w:t>
      </w:r>
    </w:p>
    <w:p w:rsidR="0040270C" w:rsidRPr="00BF6125" w:rsidRDefault="0040270C" w:rsidP="00D07A1B">
      <w:pPr>
        <w:pStyle w:val="FootnoteText"/>
        <w:keepLines/>
        <w:spacing w:before="20"/>
        <w:rPr>
          <w:rFonts w:ascii="Arial" w:hAnsi="Arial" w:cs="Arial"/>
          <w:sz w:val="16"/>
          <w:szCs w:val="16"/>
        </w:rPr>
      </w:pPr>
    </w:p>
  </w:footnote>
  <w:footnote w:id="2">
    <w:p w:rsidR="0040270C" w:rsidRPr="00BF6125"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Indicator 9:  Districts that meet the numerical disproportionality</w:t>
      </w:r>
      <w:r>
        <w:rPr>
          <w:rFonts w:ascii="Arial" w:hAnsi="Arial" w:cs="Arial"/>
          <w:sz w:val="16"/>
          <w:szCs w:val="16"/>
        </w:rPr>
        <w:t xml:space="preserve"> for special education students </w:t>
      </w:r>
      <w:r w:rsidRPr="00BF6125">
        <w:rPr>
          <w:rFonts w:ascii="Arial" w:hAnsi="Arial" w:cs="Arial"/>
          <w:sz w:val="16"/>
          <w:szCs w:val="16"/>
        </w:rPr>
        <w:t xml:space="preserve">and had inappropriate identification.  </w:t>
      </w:r>
    </w:p>
    <w:p w:rsidR="0040270C" w:rsidRPr="00BF6125" w:rsidRDefault="0040270C" w:rsidP="00D07A1B">
      <w:pPr>
        <w:pStyle w:val="FootnoteText"/>
        <w:keepLines/>
        <w:spacing w:before="20"/>
        <w:rPr>
          <w:rFonts w:ascii="Arial" w:hAnsi="Arial" w:cs="Arial"/>
          <w:sz w:val="16"/>
          <w:szCs w:val="16"/>
        </w:rPr>
      </w:pPr>
    </w:p>
  </w:footnote>
  <w:footnote w:id="3">
    <w:p w:rsidR="0040270C" w:rsidRPr="00BF6125"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Indicator 10:  Districts that meet the numerical disproportionality and had inappropriate identification in one of the 6</w:t>
      </w:r>
      <w:r>
        <w:rPr>
          <w:rFonts w:ascii="Arial" w:hAnsi="Arial" w:cs="Arial"/>
          <w:sz w:val="16"/>
          <w:szCs w:val="16"/>
        </w:rPr>
        <w:t xml:space="preserve"> disability </w:t>
      </w:r>
      <w:r w:rsidRPr="00BF6125">
        <w:rPr>
          <w:rFonts w:ascii="Arial" w:hAnsi="Arial" w:cs="Arial"/>
          <w:sz w:val="16"/>
          <w:szCs w:val="16"/>
        </w:rPr>
        <w:t>categories.</w:t>
      </w:r>
    </w:p>
    <w:p w:rsidR="0040270C" w:rsidRPr="00BF6125" w:rsidRDefault="0040270C" w:rsidP="00D07A1B">
      <w:pPr>
        <w:pStyle w:val="FootnoteText"/>
        <w:keepLines/>
        <w:spacing w:before="20"/>
        <w:rPr>
          <w:rFonts w:ascii="Arial" w:hAnsi="Arial" w:cs="Arial"/>
          <w:sz w:val="16"/>
          <w:szCs w:val="16"/>
        </w:rPr>
      </w:pPr>
    </w:p>
  </w:footnote>
  <w:footnote w:id="4">
    <w:p w:rsidR="0040270C" w:rsidRPr="00BF6125"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Indicator 11: </w:t>
      </w:r>
      <w:r>
        <w:rPr>
          <w:rFonts w:ascii="Arial" w:hAnsi="Arial" w:cs="Arial"/>
          <w:sz w:val="16"/>
          <w:szCs w:val="16"/>
        </w:rPr>
        <w:t xml:space="preserve"> Districts that</w:t>
      </w:r>
      <w:r w:rsidRPr="00BF6125">
        <w:rPr>
          <w:rFonts w:ascii="Arial" w:hAnsi="Arial" w:cs="Arial"/>
          <w:sz w:val="16"/>
          <w:szCs w:val="16"/>
        </w:rPr>
        <w:t xml:space="preserve"> meet the initial timeline of 25 school days for all evaluations.</w:t>
      </w:r>
    </w:p>
    <w:p w:rsidR="0040270C" w:rsidRPr="00BF6125" w:rsidRDefault="0040270C" w:rsidP="00D07A1B">
      <w:pPr>
        <w:pStyle w:val="FootnoteText"/>
        <w:keepLines/>
        <w:spacing w:before="20"/>
        <w:rPr>
          <w:rFonts w:ascii="Arial" w:hAnsi="Arial" w:cs="Arial"/>
          <w:sz w:val="16"/>
          <w:szCs w:val="16"/>
        </w:rPr>
      </w:pPr>
    </w:p>
  </w:footnote>
  <w:footnote w:id="5">
    <w:p w:rsidR="0040270C" w:rsidRPr="00BF6125"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Indicator 12:  Districts that had met the eligibility timeline before a child turns 3 from Part C</w:t>
      </w:r>
    </w:p>
    <w:p w:rsidR="0040270C" w:rsidRPr="00BF6125" w:rsidRDefault="0040270C" w:rsidP="00D07A1B">
      <w:pPr>
        <w:pStyle w:val="FootnoteText"/>
        <w:keepLines/>
        <w:spacing w:before="20"/>
        <w:rPr>
          <w:rFonts w:ascii="Arial" w:hAnsi="Arial" w:cs="Arial"/>
          <w:sz w:val="16"/>
          <w:szCs w:val="16"/>
        </w:rPr>
      </w:pPr>
    </w:p>
  </w:footnote>
  <w:footnote w:id="6">
    <w:p w:rsidR="0040270C" w:rsidRPr="00BF6125" w:rsidRDefault="0040270C" w:rsidP="00D07A1B">
      <w:pPr>
        <w:pStyle w:val="FootnoteText"/>
        <w:keepLines/>
        <w:spacing w:before="20"/>
        <w:rPr>
          <w:rFonts w:ascii="Arial" w:hAnsi="Arial" w:cs="Arial"/>
          <w:sz w:val="16"/>
          <w:szCs w:val="16"/>
        </w:rPr>
      </w:pPr>
      <w:r w:rsidRPr="00BF6125">
        <w:rPr>
          <w:rStyle w:val="FootnoteReference"/>
          <w:rFonts w:ascii="Arial" w:hAnsi="Arial" w:cs="Arial"/>
          <w:sz w:val="16"/>
          <w:szCs w:val="16"/>
        </w:rPr>
        <w:footnoteRef/>
      </w:r>
      <w:r w:rsidRPr="00BF6125">
        <w:rPr>
          <w:rFonts w:ascii="Arial" w:hAnsi="Arial" w:cs="Arial"/>
          <w:sz w:val="16"/>
          <w:szCs w:val="16"/>
        </w:rPr>
        <w:t xml:space="preserve"> Indicator 13: Districts monitored for coordinated set of activities for ages 16 and above.</w:t>
      </w:r>
    </w:p>
    <w:p w:rsidR="0040270C" w:rsidRPr="00BF6125" w:rsidRDefault="0040270C" w:rsidP="00D07A1B">
      <w:pPr>
        <w:pStyle w:val="FootnoteText"/>
        <w:keepLines/>
        <w:spacing w:before="20"/>
        <w:rPr>
          <w:rFonts w:ascii="Arial" w:hAnsi="Arial" w:cs="Arial"/>
          <w:sz w:val="16"/>
          <w:szCs w:val="16"/>
        </w:rPr>
      </w:pPr>
    </w:p>
  </w:footnote>
  <w:footnote w:id="7">
    <w:p w:rsidR="0040270C" w:rsidRPr="00BF6125" w:rsidRDefault="0040270C" w:rsidP="00D07A1B">
      <w:pPr>
        <w:pStyle w:val="FootnoteText"/>
        <w:keepLines/>
        <w:spacing w:before="20"/>
        <w:rPr>
          <w:rFonts w:ascii="Arial" w:hAnsi="Arial" w:cs="Arial"/>
          <w:sz w:val="16"/>
          <w:szCs w:val="16"/>
        </w:rPr>
      </w:pPr>
      <w:r>
        <w:rPr>
          <w:rStyle w:val="FootnoteReference"/>
          <w:rFonts w:ascii="Arial" w:hAnsi="Arial" w:cs="Arial"/>
          <w:sz w:val="16"/>
          <w:szCs w:val="16"/>
        </w:rPr>
        <w:t>7</w:t>
      </w:r>
      <w:r w:rsidRPr="00BF6125">
        <w:rPr>
          <w:rFonts w:ascii="Arial" w:hAnsi="Arial" w:cs="Arial"/>
          <w:sz w:val="16"/>
          <w:szCs w:val="16"/>
        </w:rPr>
        <w:t xml:space="preserve"> Applicable to LEA</w:t>
      </w:r>
      <w:r>
        <w:rPr>
          <w:rFonts w:ascii="Arial" w:hAnsi="Arial" w:cs="Arial"/>
          <w:sz w:val="16"/>
          <w:szCs w:val="16"/>
        </w:rPr>
        <w:t>s monitored or had a compl</w:t>
      </w:r>
      <w:r w:rsidRPr="00BF6125">
        <w:rPr>
          <w:rFonts w:ascii="Arial" w:hAnsi="Arial" w:cs="Arial"/>
          <w:sz w:val="16"/>
          <w:szCs w:val="16"/>
        </w:rPr>
        <w:t>aint with findings an</w:t>
      </w:r>
      <w:r>
        <w:rPr>
          <w:rFonts w:ascii="Arial" w:hAnsi="Arial" w:cs="Arial"/>
          <w:sz w:val="16"/>
          <w:szCs w:val="16"/>
        </w:rPr>
        <w:t>d closed in the school year</w:t>
      </w:r>
      <w:r w:rsidRPr="00BF6125">
        <w:rPr>
          <w:rFonts w:ascii="Arial" w:hAnsi="Arial" w:cs="Arial"/>
          <w:sz w:val="16"/>
          <w:szCs w:val="16"/>
        </w:rPr>
        <w:t>.</w:t>
      </w:r>
    </w:p>
    <w:p w:rsidR="0040270C" w:rsidRPr="0040270C" w:rsidRDefault="0040270C" w:rsidP="00D07A1B">
      <w:pPr>
        <w:pStyle w:val="FootnoteText"/>
        <w:keepLines/>
        <w:spacing w:before="20"/>
        <w:rPr>
          <w:rFonts w:ascii="Arial" w:hAnsi="Arial" w:cs="Arial"/>
          <w:sz w:val="16"/>
          <w:szCs w:val="16"/>
        </w:rPr>
      </w:pPr>
    </w:p>
  </w:footnote>
  <w:footnote w:id="8">
    <w:p w:rsidR="0040270C" w:rsidRPr="00EF2218" w:rsidRDefault="0040270C" w:rsidP="00D07A1B">
      <w:pPr>
        <w:keepLines/>
        <w:spacing w:before="20"/>
        <w:rPr>
          <w:rFonts w:ascii="Arial" w:hAnsi="Arial" w:cs="Arial"/>
          <w:sz w:val="16"/>
          <w:szCs w:val="16"/>
        </w:rPr>
      </w:pPr>
      <w:r w:rsidRPr="0040270C">
        <w:rPr>
          <w:rStyle w:val="FootnoteReference"/>
          <w:rFonts w:ascii="Arial" w:hAnsi="Arial" w:cs="Arial"/>
          <w:sz w:val="16"/>
          <w:szCs w:val="16"/>
        </w:rPr>
        <w:footnoteRef/>
      </w:r>
      <w:r w:rsidRPr="0040270C">
        <w:rPr>
          <w:rFonts w:ascii="Arial" w:hAnsi="Arial" w:cs="Arial"/>
          <w:sz w:val="16"/>
          <w:szCs w:val="16"/>
        </w:rPr>
        <w:t xml:space="preserve"> Audit Findings:  Overall findings with special emphasis on Maintenance of Effort (MOE) requirements.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0FDF"/>
    <w:multiLevelType w:val="hybridMultilevel"/>
    <w:tmpl w:val="1FEE3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AE"/>
    <w:rsid w:val="00011804"/>
    <w:rsid w:val="00036DCD"/>
    <w:rsid w:val="00045CB3"/>
    <w:rsid w:val="00052F57"/>
    <w:rsid w:val="000646CC"/>
    <w:rsid w:val="00065B75"/>
    <w:rsid w:val="0007425C"/>
    <w:rsid w:val="00074407"/>
    <w:rsid w:val="00075118"/>
    <w:rsid w:val="000B6E6E"/>
    <w:rsid w:val="001072D7"/>
    <w:rsid w:val="001223CD"/>
    <w:rsid w:val="00133005"/>
    <w:rsid w:val="001371AB"/>
    <w:rsid w:val="0016533B"/>
    <w:rsid w:val="001673EB"/>
    <w:rsid w:val="00184D54"/>
    <w:rsid w:val="001861EF"/>
    <w:rsid w:val="001D1A6B"/>
    <w:rsid w:val="00227CAE"/>
    <w:rsid w:val="00266839"/>
    <w:rsid w:val="002A4EEC"/>
    <w:rsid w:val="002B09C5"/>
    <w:rsid w:val="002F3DA0"/>
    <w:rsid w:val="003519CA"/>
    <w:rsid w:val="00365944"/>
    <w:rsid w:val="003B0D5C"/>
    <w:rsid w:val="003D5E29"/>
    <w:rsid w:val="0040270C"/>
    <w:rsid w:val="00421909"/>
    <w:rsid w:val="004B13E6"/>
    <w:rsid w:val="004E074E"/>
    <w:rsid w:val="0050313A"/>
    <w:rsid w:val="00511701"/>
    <w:rsid w:val="00527F9C"/>
    <w:rsid w:val="00563AD1"/>
    <w:rsid w:val="005C4C96"/>
    <w:rsid w:val="00682638"/>
    <w:rsid w:val="00691049"/>
    <w:rsid w:val="006A2552"/>
    <w:rsid w:val="006C5C33"/>
    <w:rsid w:val="006F1A6C"/>
    <w:rsid w:val="006F2EC0"/>
    <w:rsid w:val="00706789"/>
    <w:rsid w:val="00731B62"/>
    <w:rsid w:val="007E3DE9"/>
    <w:rsid w:val="008424A8"/>
    <w:rsid w:val="008429F3"/>
    <w:rsid w:val="00894B60"/>
    <w:rsid w:val="00906D4A"/>
    <w:rsid w:val="009330CD"/>
    <w:rsid w:val="00936FA7"/>
    <w:rsid w:val="00953EE8"/>
    <w:rsid w:val="00A6376B"/>
    <w:rsid w:val="00B02FE9"/>
    <w:rsid w:val="00B300BD"/>
    <w:rsid w:val="00B60578"/>
    <w:rsid w:val="00B90196"/>
    <w:rsid w:val="00B91B3E"/>
    <w:rsid w:val="00BA10D4"/>
    <w:rsid w:val="00BA3C01"/>
    <w:rsid w:val="00BE62BF"/>
    <w:rsid w:val="00C1086C"/>
    <w:rsid w:val="00C4555D"/>
    <w:rsid w:val="00C81D81"/>
    <w:rsid w:val="00CA68AE"/>
    <w:rsid w:val="00CC1978"/>
    <w:rsid w:val="00CD465F"/>
    <w:rsid w:val="00D07A1B"/>
    <w:rsid w:val="00D40B37"/>
    <w:rsid w:val="00D67DCC"/>
    <w:rsid w:val="00E34330"/>
    <w:rsid w:val="00EE3B08"/>
    <w:rsid w:val="00F62297"/>
    <w:rsid w:val="00F84DCC"/>
    <w:rsid w:val="00F85684"/>
    <w:rsid w:val="00FC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03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1">
    <w:name w:val="Table Columns 1"/>
    <w:basedOn w:val="TableNormal"/>
    <w:rsid w:val="0050313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313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0313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0313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3">
    <w:name w:val="Table Colorful 3"/>
    <w:basedOn w:val="TableNormal"/>
    <w:rsid w:val="0007425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07425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2">
    <w:name w:val="Table Classic 2"/>
    <w:basedOn w:val="TableNormal"/>
    <w:rsid w:val="00F8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semiHidden/>
    <w:rsid w:val="00F85684"/>
    <w:rPr>
      <w:rFonts w:ascii="Tahoma" w:hAnsi="Tahoma" w:cs="Tahoma"/>
      <w:sz w:val="16"/>
      <w:szCs w:val="16"/>
    </w:rPr>
  </w:style>
  <w:style w:type="paragraph" w:styleId="Header">
    <w:name w:val="header"/>
    <w:basedOn w:val="Normal"/>
    <w:rsid w:val="00D67DCC"/>
    <w:pPr>
      <w:tabs>
        <w:tab w:val="center" w:pos="4320"/>
        <w:tab w:val="right" w:pos="8640"/>
      </w:tabs>
    </w:pPr>
  </w:style>
  <w:style w:type="paragraph" w:styleId="Footer">
    <w:name w:val="footer"/>
    <w:basedOn w:val="Normal"/>
    <w:link w:val="FooterChar"/>
    <w:uiPriority w:val="99"/>
    <w:rsid w:val="00D67DCC"/>
    <w:pPr>
      <w:tabs>
        <w:tab w:val="center" w:pos="4320"/>
        <w:tab w:val="right" w:pos="8640"/>
      </w:tabs>
    </w:pPr>
  </w:style>
  <w:style w:type="paragraph" w:styleId="FootnoteText">
    <w:name w:val="footnote text"/>
    <w:basedOn w:val="Normal"/>
    <w:link w:val="FootnoteTextChar"/>
    <w:semiHidden/>
    <w:rsid w:val="00BA10D4"/>
  </w:style>
  <w:style w:type="character" w:customStyle="1" w:styleId="FootnoteTextChar">
    <w:name w:val="Footnote Text Char"/>
    <w:basedOn w:val="DefaultParagraphFont"/>
    <w:link w:val="FootnoteText"/>
    <w:semiHidden/>
    <w:rsid w:val="00BA10D4"/>
  </w:style>
  <w:style w:type="character" w:styleId="FootnoteReference">
    <w:name w:val="footnote reference"/>
    <w:semiHidden/>
    <w:rsid w:val="00BA10D4"/>
    <w:rPr>
      <w:vertAlign w:val="superscript"/>
    </w:rPr>
  </w:style>
  <w:style w:type="character" w:customStyle="1" w:styleId="FooterChar">
    <w:name w:val="Footer Char"/>
    <w:link w:val="Footer"/>
    <w:uiPriority w:val="99"/>
    <w:rsid w:val="00706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03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1">
    <w:name w:val="Table Columns 1"/>
    <w:basedOn w:val="TableNormal"/>
    <w:rsid w:val="0050313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313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0313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0313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3">
    <w:name w:val="Table Colorful 3"/>
    <w:basedOn w:val="TableNormal"/>
    <w:rsid w:val="0007425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07425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2">
    <w:name w:val="Table Classic 2"/>
    <w:basedOn w:val="TableNormal"/>
    <w:rsid w:val="00F8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semiHidden/>
    <w:rsid w:val="00F85684"/>
    <w:rPr>
      <w:rFonts w:ascii="Tahoma" w:hAnsi="Tahoma" w:cs="Tahoma"/>
      <w:sz w:val="16"/>
      <w:szCs w:val="16"/>
    </w:rPr>
  </w:style>
  <w:style w:type="paragraph" w:styleId="Header">
    <w:name w:val="header"/>
    <w:basedOn w:val="Normal"/>
    <w:rsid w:val="00D67DCC"/>
    <w:pPr>
      <w:tabs>
        <w:tab w:val="center" w:pos="4320"/>
        <w:tab w:val="right" w:pos="8640"/>
      </w:tabs>
    </w:pPr>
  </w:style>
  <w:style w:type="paragraph" w:styleId="Footer">
    <w:name w:val="footer"/>
    <w:basedOn w:val="Normal"/>
    <w:link w:val="FooterChar"/>
    <w:uiPriority w:val="99"/>
    <w:rsid w:val="00D67DCC"/>
    <w:pPr>
      <w:tabs>
        <w:tab w:val="center" w:pos="4320"/>
        <w:tab w:val="right" w:pos="8640"/>
      </w:tabs>
    </w:pPr>
  </w:style>
  <w:style w:type="paragraph" w:styleId="FootnoteText">
    <w:name w:val="footnote text"/>
    <w:basedOn w:val="Normal"/>
    <w:link w:val="FootnoteTextChar"/>
    <w:semiHidden/>
    <w:rsid w:val="00BA10D4"/>
  </w:style>
  <w:style w:type="character" w:customStyle="1" w:styleId="FootnoteTextChar">
    <w:name w:val="Footnote Text Char"/>
    <w:basedOn w:val="DefaultParagraphFont"/>
    <w:link w:val="FootnoteText"/>
    <w:semiHidden/>
    <w:rsid w:val="00BA10D4"/>
  </w:style>
  <w:style w:type="character" w:styleId="FootnoteReference">
    <w:name w:val="footnote reference"/>
    <w:semiHidden/>
    <w:rsid w:val="00BA10D4"/>
    <w:rPr>
      <w:vertAlign w:val="superscript"/>
    </w:rPr>
  </w:style>
  <w:style w:type="character" w:customStyle="1" w:styleId="FooterChar">
    <w:name w:val="Footer Char"/>
    <w:link w:val="Footer"/>
    <w:uiPriority w:val="99"/>
    <w:rsid w:val="0070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Determination is based on the required components by United States Office of Special Education Programs (OSEP) which includes:</vt:lpstr>
    </vt:vector>
  </TitlesOfParts>
  <Company>State of South Dakota</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is based on the required components by United States Office of Special Education Programs (OSEP) which includes:</dc:title>
  <dc:creator>depr18195</dc:creator>
  <cp:lastModifiedBy>DERC16967</cp:lastModifiedBy>
  <cp:revision>2</cp:revision>
  <cp:lastPrinted>2013-07-18T14:10:00Z</cp:lastPrinted>
  <dcterms:created xsi:type="dcterms:W3CDTF">2013-07-18T14:22:00Z</dcterms:created>
  <dcterms:modified xsi:type="dcterms:W3CDTF">2013-07-18T14:22:00Z</dcterms:modified>
</cp:coreProperties>
</file>