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086" w:rsidRDefault="00637B3B" w:rsidP="002A77F9">
      <w:pPr>
        <w:pStyle w:val="Heading1"/>
      </w:pPr>
      <w:bookmarkStart w:id="0" w:name="_GoBack"/>
      <w:bookmarkEnd w:id="0"/>
      <w:r>
        <w:t>S</w:t>
      </w:r>
      <w:r w:rsidRPr="00637B3B">
        <w:rPr>
          <w:sz w:val="28"/>
        </w:rPr>
        <w:t>outh</w:t>
      </w:r>
      <w:r>
        <w:t xml:space="preserve"> D</w:t>
      </w:r>
      <w:r w:rsidRPr="00637B3B">
        <w:rPr>
          <w:sz w:val="28"/>
        </w:rPr>
        <w:t>akota</w:t>
      </w:r>
      <w:r>
        <w:t xml:space="preserve"> </w:t>
      </w:r>
      <w:r w:rsidR="00636086">
        <w:t>M</w:t>
      </w:r>
      <w:r w:rsidRPr="00637B3B">
        <w:rPr>
          <w:sz w:val="28"/>
        </w:rPr>
        <w:t>ulti</w:t>
      </w:r>
      <w:r>
        <w:t>-</w:t>
      </w:r>
      <w:r w:rsidR="00636086">
        <w:t>T</w:t>
      </w:r>
      <w:r w:rsidRPr="00637B3B">
        <w:rPr>
          <w:sz w:val="28"/>
        </w:rPr>
        <w:t>iered</w:t>
      </w:r>
      <w:r>
        <w:t xml:space="preserve"> </w:t>
      </w:r>
      <w:r w:rsidR="00636086">
        <w:t>S</w:t>
      </w:r>
      <w:r w:rsidRPr="00637B3B">
        <w:rPr>
          <w:sz w:val="28"/>
        </w:rPr>
        <w:t>ystem</w:t>
      </w:r>
      <w:r>
        <w:t xml:space="preserve"> of </w:t>
      </w:r>
      <w:r w:rsidR="00636086">
        <w:t>S</w:t>
      </w:r>
      <w:r w:rsidRPr="00637B3B">
        <w:rPr>
          <w:sz w:val="28"/>
        </w:rPr>
        <w:t>upport</w:t>
      </w:r>
      <w:r>
        <w:t xml:space="preserve"> (MTSS)</w:t>
      </w:r>
      <w:r w:rsidR="00636086">
        <w:t xml:space="preserve"> District Readiness Tool</w:t>
      </w:r>
    </w:p>
    <w:p w:rsidR="002A77F9" w:rsidRDefault="006F137C" w:rsidP="00C4183B">
      <w:pPr>
        <w:jc w:val="both"/>
      </w:pPr>
      <w:r>
        <w:t xml:space="preserve">This </w:t>
      </w:r>
      <w:r w:rsidR="00636086">
        <w:t xml:space="preserve">document </w:t>
      </w:r>
      <w:r>
        <w:t xml:space="preserve">serves </w:t>
      </w:r>
      <w:r w:rsidR="00712377">
        <w:t>a</w:t>
      </w:r>
      <w:r w:rsidR="00636086">
        <w:t xml:space="preserve">s a progress monitoring tool used to assess the extent to which </w:t>
      </w:r>
      <w:r>
        <w:t>districts</w:t>
      </w:r>
      <w:r w:rsidR="00636086">
        <w:t xml:space="preserve"> are making progress toward full implementation of a Multi-Tiered System of Support (MTSS)</w:t>
      </w:r>
      <w:r w:rsidR="00C93FC7">
        <w:t>.  The District Readiness Tool should be completed at a minimum, twice a year (i.e. beginning of the school year and end of the school year).  Completion at the beginning of the year can assist building and district level teams in assessing current status</w:t>
      </w:r>
      <w:r w:rsidR="00DE1336">
        <w:t>,</w:t>
      </w:r>
      <w:r w:rsidR="00C93FC7">
        <w:t xml:space="preserve"> </w:t>
      </w:r>
      <w:r w:rsidR="00DE1336">
        <w:t>and</w:t>
      </w:r>
      <w:r w:rsidR="00C93FC7">
        <w:t xml:space="preserve"> developing tasks and goals to implement with integrity and fidelity.  Completion at the end of the year will assist in examining progress made during the year, and refining tasks and goals for the following year.</w:t>
      </w:r>
    </w:p>
    <w:p w:rsidR="00C4183B" w:rsidRPr="00C4183B" w:rsidRDefault="002E5DE2" w:rsidP="00C4183B">
      <w:pPr>
        <w:jc w:val="both"/>
      </w:pPr>
      <w:r>
        <w:t>The data collected through this tool are used to evaluate the extent to which actions taken to facilitate implementation of the MTSS framework have been successful as well as identify the needs not identified during previous administrations.</w:t>
      </w:r>
      <w:r w:rsidR="00C4183B">
        <w:t xml:space="preserve">  Results of this tool should be shared with building level teams, as well as district level teams in order to provide support and leadership to the schools.  Examples of district level team support are providing technical assistance and develop professional development plans for schools, and drafting policies and procedures to carry out efforts of systematic implementation.</w:t>
      </w:r>
    </w:p>
    <w:p w:rsidR="00D53CE1" w:rsidRDefault="00636086" w:rsidP="00636086">
      <w:pPr>
        <w:jc w:val="both"/>
      </w:pPr>
      <w:r>
        <w:t xml:space="preserve">The items within this measure were developed </w:t>
      </w:r>
      <w:r w:rsidR="00853F12">
        <w:t>by the Academic Development Institute</w:t>
      </w:r>
      <w:r w:rsidR="00874315">
        <w:t xml:space="preserve"> for the use in the SDLEAP (Leading Effectively, Achieving Progress) online tool</w:t>
      </w:r>
      <w:r w:rsidR="00853F12">
        <w:t>.  Each success indicator is evidence-based at the district, school, and classroom level to improve student learning.  They are each meant to guide improvement teams through the process of a system’s change involving a MTSS framework.</w:t>
      </w:r>
      <w:r w:rsidR="00D53CE1">
        <w:t xml:space="preserve">  The building level team should receive training on the Problem-Solving model, as well as the MTSS framework to ensure efficient and productive planning and problem-solving meetings.</w:t>
      </w:r>
    </w:p>
    <w:p w:rsidR="00C4183B" w:rsidRDefault="00C4183B" w:rsidP="00636086">
      <w:pPr>
        <w:jc w:val="both"/>
      </w:pPr>
      <w:r>
        <w:t xml:space="preserve">The SDMTSS non-negotiables have been addressed throughout this document </w:t>
      </w:r>
      <w:r w:rsidR="006F137C">
        <w:t>to ensure the integrity and fidelity of implementation:</w:t>
      </w:r>
    </w:p>
    <w:p w:rsidR="00C4183B" w:rsidRPr="00C4183B" w:rsidRDefault="00C4183B" w:rsidP="00C4183B">
      <w:pPr>
        <w:pStyle w:val="ListParagraph"/>
        <w:numPr>
          <w:ilvl w:val="0"/>
          <w:numId w:val="4"/>
        </w:numPr>
        <w:rPr>
          <w:rFonts w:ascii="Georgia" w:hAnsi="Georgia"/>
          <w:sz w:val="20"/>
          <w:szCs w:val="20"/>
        </w:rPr>
      </w:pPr>
      <w:r w:rsidRPr="00C4183B">
        <w:rPr>
          <w:rFonts w:ascii="Georgia" w:hAnsi="Georgia"/>
          <w:sz w:val="20"/>
          <w:szCs w:val="20"/>
        </w:rPr>
        <w:t>all students will be taught effectively;</w:t>
      </w:r>
    </w:p>
    <w:p w:rsidR="00C4183B" w:rsidRPr="00C4183B" w:rsidRDefault="00C4183B" w:rsidP="00C4183B">
      <w:pPr>
        <w:pStyle w:val="ListParagraph"/>
        <w:numPr>
          <w:ilvl w:val="0"/>
          <w:numId w:val="4"/>
        </w:numPr>
        <w:rPr>
          <w:rFonts w:ascii="Georgia" w:hAnsi="Georgia"/>
          <w:sz w:val="20"/>
          <w:szCs w:val="20"/>
        </w:rPr>
      </w:pPr>
      <w:r w:rsidRPr="00C4183B">
        <w:rPr>
          <w:rFonts w:ascii="Georgia" w:hAnsi="Georgia"/>
          <w:sz w:val="20"/>
          <w:szCs w:val="20"/>
        </w:rPr>
        <w:t>a collaborative well-defined district and school-based leadership and organizational structure</w:t>
      </w:r>
      <w:r>
        <w:rPr>
          <w:rFonts w:ascii="Georgia" w:hAnsi="Georgia"/>
          <w:sz w:val="20"/>
          <w:szCs w:val="20"/>
        </w:rPr>
        <w:t>;</w:t>
      </w:r>
    </w:p>
    <w:p w:rsidR="00C4183B" w:rsidRPr="00C4183B" w:rsidRDefault="00C4183B" w:rsidP="00C4183B">
      <w:pPr>
        <w:pStyle w:val="ListParagraph"/>
        <w:numPr>
          <w:ilvl w:val="0"/>
          <w:numId w:val="4"/>
        </w:numPr>
        <w:rPr>
          <w:rFonts w:ascii="Georgia" w:hAnsi="Georgia"/>
          <w:sz w:val="20"/>
          <w:szCs w:val="20"/>
        </w:rPr>
      </w:pPr>
      <w:r w:rsidRPr="00C4183B">
        <w:rPr>
          <w:rFonts w:ascii="Georgia" w:hAnsi="Georgia" w:cs="Tahoma"/>
          <w:color w:val="000000"/>
          <w:sz w:val="20"/>
          <w:szCs w:val="20"/>
        </w:rPr>
        <w:t>the use of three tiers of increasingly intensive (time and focus of instruction) instructional supports and strategies;</w:t>
      </w:r>
    </w:p>
    <w:p w:rsidR="00C4183B" w:rsidRPr="00C4183B" w:rsidRDefault="00C4183B" w:rsidP="00C4183B">
      <w:pPr>
        <w:pStyle w:val="ListParagraph"/>
        <w:numPr>
          <w:ilvl w:val="0"/>
          <w:numId w:val="4"/>
        </w:numPr>
        <w:rPr>
          <w:rFonts w:ascii="Georgia" w:hAnsi="Georgia"/>
          <w:sz w:val="20"/>
          <w:szCs w:val="20"/>
        </w:rPr>
      </w:pPr>
      <w:r w:rsidRPr="00C4183B">
        <w:rPr>
          <w:rFonts w:ascii="Georgia" w:hAnsi="Georgia" w:cs="Tahoma"/>
          <w:color w:val="000000"/>
          <w:sz w:val="20"/>
          <w:szCs w:val="20"/>
        </w:rPr>
        <w:t>all instructional practices are focused on increasing student engagement;</w:t>
      </w:r>
    </w:p>
    <w:p w:rsidR="00C4183B" w:rsidRPr="00C4183B" w:rsidRDefault="00C4183B" w:rsidP="00C4183B">
      <w:pPr>
        <w:pStyle w:val="ListParagraph"/>
        <w:numPr>
          <w:ilvl w:val="0"/>
          <w:numId w:val="4"/>
        </w:numPr>
        <w:rPr>
          <w:rFonts w:ascii="Georgia" w:hAnsi="Georgia"/>
          <w:sz w:val="20"/>
          <w:szCs w:val="20"/>
        </w:rPr>
      </w:pPr>
      <w:r w:rsidRPr="00C4183B">
        <w:rPr>
          <w:rFonts w:ascii="Georgia" w:hAnsi="Georgia" w:cs="Tahoma"/>
          <w:color w:val="000000"/>
          <w:sz w:val="20"/>
          <w:szCs w:val="20"/>
        </w:rPr>
        <w:t>all staff will participate in professional development to ensure robust and valid core instruction and fidelity of implementation of a MTSS and the Common Core State Standards;</w:t>
      </w:r>
    </w:p>
    <w:p w:rsidR="00C4183B" w:rsidRPr="00C4183B" w:rsidRDefault="00C4183B" w:rsidP="00C4183B">
      <w:pPr>
        <w:pStyle w:val="ListParagraph"/>
        <w:numPr>
          <w:ilvl w:val="0"/>
          <w:numId w:val="4"/>
        </w:numPr>
        <w:rPr>
          <w:rFonts w:ascii="Georgia" w:hAnsi="Georgia"/>
          <w:sz w:val="20"/>
          <w:szCs w:val="20"/>
        </w:rPr>
      </w:pPr>
      <w:r w:rsidRPr="00C4183B">
        <w:rPr>
          <w:rFonts w:ascii="Georgia" w:hAnsi="Georgia"/>
          <w:sz w:val="20"/>
          <w:szCs w:val="20"/>
        </w:rPr>
        <w:t>the use of a problem-solving method to make decisions;</w:t>
      </w:r>
    </w:p>
    <w:p w:rsidR="00C4183B" w:rsidRPr="00C4183B" w:rsidRDefault="00C4183B" w:rsidP="00C4183B">
      <w:pPr>
        <w:pStyle w:val="ListParagraph"/>
        <w:numPr>
          <w:ilvl w:val="0"/>
          <w:numId w:val="4"/>
        </w:numPr>
        <w:rPr>
          <w:rFonts w:ascii="Georgia" w:hAnsi="Georgia"/>
          <w:sz w:val="20"/>
          <w:szCs w:val="20"/>
        </w:rPr>
      </w:pPr>
      <w:r w:rsidRPr="00C4183B">
        <w:rPr>
          <w:rFonts w:ascii="Georgia" w:hAnsi="Georgia"/>
          <w:sz w:val="20"/>
          <w:szCs w:val="20"/>
        </w:rPr>
        <w:t>the use of evidence based materials, instruction and interventions;</w:t>
      </w:r>
    </w:p>
    <w:p w:rsidR="00C4183B" w:rsidRPr="00C4183B" w:rsidRDefault="00C4183B" w:rsidP="00C4183B">
      <w:pPr>
        <w:pStyle w:val="ListParagraph"/>
        <w:numPr>
          <w:ilvl w:val="0"/>
          <w:numId w:val="4"/>
        </w:numPr>
        <w:rPr>
          <w:rFonts w:ascii="Georgia" w:hAnsi="Georgia"/>
          <w:sz w:val="20"/>
          <w:szCs w:val="20"/>
        </w:rPr>
      </w:pPr>
      <w:r w:rsidRPr="00C4183B">
        <w:rPr>
          <w:rFonts w:ascii="Georgia" w:hAnsi="Georgia"/>
          <w:sz w:val="20"/>
          <w:szCs w:val="20"/>
        </w:rPr>
        <w:t xml:space="preserve">continuous monitoring of student progress to drive instruction; </w:t>
      </w:r>
    </w:p>
    <w:p w:rsidR="00C4183B" w:rsidRPr="00C4183B" w:rsidRDefault="00C4183B" w:rsidP="00C4183B">
      <w:pPr>
        <w:pStyle w:val="ListParagraph"/>
        <w:numPr>
          <w:ilvl w:val="0"/>
          <w:numId w:val="4"/>
        </w:numPr>
        <w:rPr>
          <w:rFonts w:ascii="Georgia" w:hAnsi="Georgia"/>
          <w:sz w:val="20"/>
          <w:szCs w:val="20"/>
        </w:rPr>
      </w:pPr>
      <w:r w:rsidRPr="00C4183B">
        <w:rPr>
          <w:rFonts w:ascii="Georgia" w:hAnsi="Georgia"/>
          <w:sz w:val="20"/>
          <w:szCs w:val="20"/>
        </w:rPr>
        <w:t>the use of data driven decision making to match instructional</w:t>
      </w:r>
      <w:r>
        <w:rPr>
          <w:rFonts w:ascii="Georgia" w:hAnsi="Georgia"/>
          <w:sz w:val="20"/>
          <w:szCs w:val="20"/>
        </w:rPr>
        <w:t xml:space="preserve"> resources to educational needs;</w:t>
      </w:r>
    </w:p>
    <w:p w:rsidR="00C4183B" w:rsidRPr="00C4183B" w:rsidRDefault="00C4183B" w:rsidP="00C4183B">
      <w:pPr>
        <w:pStyle w:val="ListParagraph"/>
        <w:numPr>
          <w:ilvl w:val="0"/>
          <w:numId w:val="4"/>
        </w:numPr>
        <w:rPr>
          <w:rFonts w:ascii="Georgia" w:hAnsi="Georgia"/>
          <w:sz w:val="20"/>
          <w:szCs w:val="20"/>
        </w:rPr>
      </w:pPr>
      <w:r w:rsidRPr="00C4183B">
        <w:rPr>
          <w:rFonts w:ascii="Georgia" w:hAnsi="Georgia"/>
          <w:sz w:val="20"/>
          <w:szCs w:val="20"/>
        </w:rPr>
        <w:t xml:space="preserve">an evaluation process that assesses expected rates of progress and monitors both implementation and outcomes </w:t>
      </w:r>
    </w:p>
    <w:p w:rsidR="00C93FC7" w:rsidRDefault="00C4183B" w:rsidP="00636086">
      <w:pPr>
        <w:pStyle w:val="ListParagraph"/>
        <w:numPr>
          <w:ilvl w:val="0"/>
          <w:numId w:val="4"/>
        </w:numPr>
        <w:jc w:val="both"/>
      </w:pPr>
      <w:r w:rsidRPr="00C4183B">
        <w:rPr>
          <w:rFonts w:ascii="Georgia" w:hAnsi="Georgia"/>
          <w:sz w:val="20"/>
          <w:szCs w:val="20"/>
        </w:rPr>
        <w:t>engage in community and family partnerships.</w:t>
      </w:r>
    </w:p>
    <w:p w:rsidR="00C4183B" w:rsidRDefault="00636086" w:rsidP="002A77F9">
      <w:pPr>
        <w:pStyle w:val="Heading1"/>
      </w:pPr>
      <w:r>
        <w:br w:type="page"/>
      </w:r>
      <w:r w:rsidR="00C4183B">
        <w:lastRenderedPageBreak/>
        <w:t>S</w:t>
      </w:r>
      <w:r w:rsidR="00C4183B" w:rsidRPr="00637B3B">
        <w:rPr>
          <w:sz w:val="28"/>
        </w:rPr>
        <w:t>outh</w:t>
      </w:r>
      <w:r w:rsidR="00C4183B">
        <w:t xml:space="preserve"> D</w:t>
      </w:r>
      <w:r w:rsidR="00C4183B" w:rsidRPr="00637B3B">
        <w:rPr>
          <w:sz w:val="28"/>
        </w:rPr>
        <w:t>akota</w:t>
      </w:r>
      <w:r w:rsidR="00C4183B">
        <w:t xml:space="preserve"> M</w:t>
      </w:r>
      <w:r w:rsidR="00C4183B" w:rsidRPr="00637B3B">
        <w:rPr>
          <w:sz w:val="28"/>
        </w:rPr>
        <w:t>ulti</w:t>
      </w:r>
      <w:r w:rsidR="00C4183B">
        <w:t>-T</w:t>
      </w:r>
      <w:r w:rsidR="00C4183B" w:rsidRPr="00637B3B">
        <w:rPr>
          <w:sz w:val="28"/>
        </w:rPr>
        <w:t>iered</w:t>
      </w:r>
      <w:r w:rsidR="00C4183B">
        <w:t xml:space="preserve"> S</w:t>
      </w:r>
      <w:r w:rsidR="00C4183B" w:rsidRPr="00637B3B">
        <w:rPr>
          <w:sz w:val="28"/>
        </w:rPr>
        <w:t>ystem</w:t>
      </w:r>
      <w:r w:rsidR="00C4183B">
        <w:t xml:space="preserve"> of S</w:t>
      </w:r>
      <w:r w:rsidR="00C4183B" w:rsidRPr="00637B3B">
        <w:rPr>
          <w:sz w:val="28"/>
        </w:rPr>
        <w:t>upport</w:t>
      </w:r>
      <w:r w:rsidR="00C4183B">
        <w:t xml:space="preserve"> (MTSS) District Readiness Tool</w:t>
      </w:r>
    </w:p>
    <w:p w:rsidR="003D3D38" w:rsidRDefault="003D3D38" w:rsidP="00C4183B">
      <w:pPr>
        <w:jc w:val="both"/>
      </w:pPr>
      <w:r>
        <w:t>This assessment should be completed for each school building within your district in order to evaluate the readiness of your district in the implementation of a Multi-Tiered System of Support (MTSS) framework.</w:t>
      </w:r>
    </w:p>
    <w:p w:rsidR="003D3D38" w:rsidRDefault="003D3D38" w:rsidP="003D3D38">
      <w:pPr>
        <w:pStyle w:val="BodyTextIndent"/>
      </w:pPr>
      <w:r>
        <w:t>Directions</w:t>
      </w:r>
    </w:p>
    <w:p w:rsidR="006A576B" w:rsidRDefault="003D3D38" w:rsidP="00606AA2">
      <w:r>
        <w:t>In responding to each item below, please use the following response scale:</w:t>
      </w:r>
    </w:p>
    <w:p w:rsidR="003D3D38" w:rsidRDefault="003D3D38" w:rsidP="00436942">
      <w:pPr>
        <w:spacing w:line="240" w:lineRule="auto"/>
      </w:pPr>
      <w:r w:rsidRPr="00436942">
        <w:rPr>
          <w:b/>
        </w:rPr>
        <w:t>N</w:t>
      </w:r>
      <w:r w:rsidRPr="0060244B">
        <w:t>ot Started</w:t>
      </w:r>
      <w:r w:rsidRPr="00436942">
        <w:rPr>
          <w:b/>
        </w:rPr>
        <w:t xml:space="preserve"> (N)</w:t>
      </w:r>
      <w:r>
        <w:t xml:space="preserve"> – This activity occurs </w:t>
      </w:r>
      <w:r w:rsidRPr="0030388D">
        <w:rPr>
          <w:u w:val="single"/>
        </w:rPr>
        <w:t>less than 24% of the time</w:t>
      </w:r>
    </w:p>
    <w:p w:rsidR="003D3D38" w:rsidRDefault="003D3D38" w:rsidP="00436942">
      <w:pPr>
        <w:spacing w:line="240" w:lineRule="auto"/>
      </w:pPr>
      <w:r w:rsidRPr="00436942">
        <w:rPr>
          <w:b/>
        </w:rPr>
        <w:t>I</w:t>
      </w:r>
      <w:r w:rsidRPr="0060244B">
        <w:t>n Progress</w:t>
      </w:r>
      <w:r w:rsidRPr="00436942">
        <w:rPr>
          <w:b/>
        </w:rPr>
        <w:t xml:space="preserve"> (I)</w:t>
      </w:r>
      <w:r>
        <w:t xml:space="preserve"> – This activity occurs </w:t>
      </w:r>
      <w:r w:rsidRPr="0030388D">
        <w:rPr>
          <w:u w:val="single"/>
        </w:rPr>
        <w:t>approximately 25% to 74% of the time</w:t>
      </w:r>
    </w:p>
    <w:p w:rsidR="003D3D38" w:rsidRDefault="003D3D38" w:rsidP="00436942">
      <w:pPr>
        <w:spacing w:line="240" w:lineRule="auto"/>
      </w:pPr>
      <w:r w:rsidRPr="00436942">
        <w:rPr>
          <w:b/>
        </w:rPr>
        <w:t>A</w:t>
      </w:r>
      <w:r w:rsidRPr="0060244B">
        <w:t>chieved</w:t>
      </w:r>
      <w:r w:rsidRPr="00436942">
        <w:rPr>
          <w:b/>
        </w:rPr>
        <w:t xml:space="preserve"> (A) </w:t>
      </w:r>
      <w:r>
        <w:t xml:space="preserve">– This activity occurs </w:t>
      </w:r>
      <w:r w:rsidRPr="0030388D">
        <w:rPr>
          <w:u w:val="single"/>
        </w:rPr>
        <w:t>approximately 75% to 100% of the time</w:t>
      </w:r>
    </w:p>
    <w:p w:rsidR="003D3D38" w:rsidRDefault="003D3D38" w:rsidP="00436942">
      <w:pPr>
        <w:spacing w:line="240" w:lineRule="auto"/>
      </w:pPr>
      <w:r w:rsidRPr="00436942">
        <w:rPr>
          <w:b/>
        </w:rPr>
        <w:t>M</w:t>
      </w:r>
      <w:r w:rsidRPr="0060244B">
        <w:t>aintaining</w:t>
      </w:r>
      <w:r w:rsidRPr="00436942">
        <w:rPr>
          <w:b/>
        </w:rPr>
        <w:t xml:space="preserve"> (M)</w:t>
      </w:r>
      <w:r>
        <w:t xml:space="preserve"> – This activity was rated as </w:t>
      </w:r>
      <w:r w:rsidRPr="0030388D">
        <w:rPr>
          <w:u w:val="single"/>
        </w:rPr>
        <w:t>achieved last time and continues to occur approximately 75% to 100% of the time</w:t>
      </w:r>
    </w:p>
    <w:p w:rsidR="003D3D38" w:rsidRDefault="003D3D38" w:rsidP="00606AA2">
      <w:r>
        <w:t>For each item below, please write the letter of the option (</w:t>
      </w:r>
      <w:r w:rsidRPr="005101A0">
        <w:rPr>
          <w:b/>
        </w:rPr>
        <w:t>N, I, A, M</w:t>
      </w:r>
      <w:r>
        <w:t xml:space="preserve">) that best represents your School-Based Leadership Team’s response in the column labeled “Status”.  Also include a justification statement in the column labeled “Evidence” that is relevant to your team’s response.  When completing the items in this assessment, the team should base its response on the </w:t>
      </w:r>
      <w:r w:rsidR="005D77A3">
        <w:t>entire school building.</w:t>
      </w:r>
    </w:p>
    <w:tbl>
      <w:tblPr>
        <w:tblStyle w:val="TableGrid"/>
        <w:tblpPr w:leftFromText="180" w:rightFromText="180" w:vertAnchor="text" w:horzAnchor="margin" w:tblpY="777"/>
        <w:tblW w:w="14154" w:type="dxa"/>
        <w:tblCellMar>
          <w:top w:w="86" w:type="dxa"/>
          <w:left w:w="115" w:type="dxa"/>
          <w:bottom w:w="86" w:type="dxa"/>
          <w:right w:w="115" w:type="dxa"/>
        </w:tblCellMar>
        <w:tblLook w:val="01E0" w:firstRow="1" w:lastRow="1" w:firstColumn="1" w:lastColumn="1" w:noHBand="0" w:noVBand="0"/>
      </w:tblPr>
      <w:tblGrid>
        <w:gridCol w:w="3425"/>
        <w:gridCol w:w="919"/>
        <w:gridCol w:w="9810"/>
      </w:tblGrid>
      <w:tr w:rsidR="00436942" w:rsidRPr="00606AA2" w:rsidTr="00436942">
        <w:trPr>
          <w:tblHeader/>
        </w:trPr>
        <w:tc>
          <w:tcPr>
            <w:tcW w:w="3425" w:type="dxa"/>
            <w:tcBorders>
              <w:bottom w:val="single" w:sz="4" w:space="0" w:color="auto"/>
            </w:tcBorders>
            <w:shd w:val="clear" w:color="auto" w:fill="FBD4B4" w:themeFill="accent6" w:themeFillTint="66"/>
            <w:vAlign w:val="center"/>
          </w:tcPr>
          <w:p w:rsidR="003D3D38" w:rsidRPr="00563CA0" w:rsidRDefault="003D3D38" w:rsidP="003D3D38">
            <w:pPr>
              <w:pStyle w:val="TableTextBold"/>
              <w:rPr>
                <w:b w:val="0"/>
              </w:rPr>
            </w:pPr>
          </w:p>
        </w:tc>
        <w:tc>
          <w:tcPr>
            <w:tcW w:w="919" w:type="dxa"/>
            <w:tcBorders>
              <w:bottom w:val="single" w:sz="4" w:space="0" w:color="auto"/>
            </w:tcBorders>
            <w:shd w:val="clear" w:color="auto" w:fill="FBD4B4" w:themeFill="accent6" w:themeFillTint="66"/>
            <w:vAlign w:val="center"/>
          </w:tcPr>
          <w:p w:rsidR="003D3D38" w:rsidRPr="00563CA0" w:rsidRDefault="003D3D38" w:rsidP="00563CA0">
            <w:pPr>
              <w:pStyle w:val="TableTextBold"/>
            </w:pPr>
            <w:r w:rsidRPr="00563CA0">
              <w:t>Status</w:t>
            </w:r>
          </w:p>
        </w:tc>
        <w:tc>
          <w:tcPr>
            <w:tcW w:w="9810" w:type="dxa"/>
            <w:tcBorders>
              <w:bottom w:val="single" w:sz="4" w:space="0" w:color="auto"/>
            </w:tcBorders>
            <w:shd w:val="clear" w:color="auto" w:fill="FBD4B4" w:themeFill="accent6" w:themeFillTint="66"/>
            <w:vAlign w:val="center"/>
          </w:tcPr>
          <w:p w:rsidR="003D3D38" w:rsidRPr="00563CA0" w:rsidRDefault="003D3D38" w:rsidP="00563CA0">
            <w:pPr>
              <w:pStyle w:val="TableTextBold"/>
            </w:pPr>
            <w:r w:rsidRPr="00563CA0">
              <w:t>Evidence</w:t>
            </w:r>
          </w:p>
        </w:tc>
      </w:tr>
      <w:tr w:rsidR="009E1D79" w:rsidRPr="00606AA2" w:rsidTr="00436942">
        <w:tc>
          <w:tcPr>
            <w:tcW w:w="14154" w:type="dxa"/>
            <w:gridSpan w:val="3"/>
            <w:tcBorders>
              <w:bottom w:val="single" w:sz="4" w:space="0" w:color="auto"/>
            </w:tcBorders>
            <w:shd w:val="clear" w:color="auto" w:fill="FABF8F" w:themeFill="accent6" w:themeFillTint="99"/>
            <w:vAlign w:val="center"/>
          </w:tcPr>
          <w:p w:rsidR="009E1D79" w:rsidRPr="00563CA0" w:rsidRDefault="009E1D79" w:rsidP="009E1D79">
            <w:pPr>
              <w:pStyle w:val="TableText"/>
              <w:jc w:val="center"/>
              <w:rPr>
                <w:b/>
              </w:rPr>
            </w:pPr>
            <w:r w:rsidRPr="00563CA0">
              <w:rPr>
                <w:b/>
              </w:rPr>
              <w:t>School Leadership and Decision Making</w:t>
            </w:r>
          </w:p>
        </w:tc>
      </w:tr>
      <w:tr w:rsidR="003D3D38" w:rsidRPr="00606AA2" w:rsidTr="008371AB">
        <w:tc>
          <w:tcPr>
            <w:tcW w:w="3425" w:type="dxa"/>
            <w:tcBorders>
              <w:bottom w:val="single" w:sz="4" w:space="0" w:color="auto"/>
            </w:tcBorders>
            <w:shd w:val="clear" w:color="auto" w:fill="FF9900"/>
            <w:vAlign w:val="center"/>
          </w:tcPr>
          <w:p w:rsidR="003D3D38" w:rsidRPr="00563CA0" w:rsidRDefault="005D77A3" w:rsidP="003D3D38">
            <w:pPr>
              <w:pStyle w:val="TableTextBold"/>
              <w:rPr>
                <w:b w:val="0"/>
              </w:rPr>
            </w:pPr>
            <w:r w:rsidRPr="00563CA0">
              <w:rPr>
                <w:b w:val="0"/>
              </w:rPr>
              <w:t>A Building Leadership team consisting of the principal, teachers who lead the Instructional Teams, and other key professional staff meet regularly (twice a month or more for an hour each meeting).</w:t>
            </w:r>
          </w:p>
        </w:tc>
        <w:tc>
          <w:tcPr>
            <w:tcW w:w="919" w:type="dxa"/>
            <w:tcBorders>
              <w:bottom w:val="single" w:sz="4" w:space="0" w:color="auto"/>
            </w:tcBorders>
            <w:vAlign w:val="center"/>
          </w:tcPr>
          <w:p w:rsidR="003D3D38" w:rsidRPr="00563CA0" w:rsidRDefault="003D3D38" w:rsidP="003D3D38">
            <w:pPr>
              <w:pStyle w:val="TableText"/>
            </w:pPr>
          </w:p>
        </w:tc>
        <w:tc>
          <w:tcPr>
            <w:tcW w:w="9810" w:type="dxa"/>
            <w:tcBorders>
              <w:bottom w:val="single" w:sz="4" w:space="0" w:color="auto"/>
            </w:tcBorders>
          </w:tcPr>
          <w:p w:rsidR="003D3D38" w:rsidRPr="00563CA0" w:rsidRDefault="003D3D38" w:rsidP="008371AB">
            <w:pPr>
              <w:pStyle w:val="TableText"/>
            </w:pPr>
          </w:p>
        </w:tc>
      </w:tr>
      <w:tr w:rsidR="009E1D79" w:rsidRPr="00606AA2" w:rsidTr="008371AB">
        <w:tc>
          <w:tcPr>
            <w:tcW w:w="3425" w:type="dxa"/>
            <w:tcBorders>
              <w:bottom w:val="single" w:sz="4" w:space="0" w:color="auto"/>
            </w:tcBorders>
            <w:shd w:val="clear" w:color="auto" w:fill="FF9900"/>
            <w:vAlign w:val="center"/>
          </w:tcPr>
          <w:p w:rsidR="009E1D79" w:rsidRPr="00563CA0" w:rsidRDefault="009E1D79" w:rsidP="009E1D79">
            <w:pPr>
              <w:pStyle w:val="TableTextBold"/>
              <w:rPr>
                <w:b w:val="0"/>
              </w:rPr>
            </w:pPr>
            <w:r w:rsidRPr="00563CA0">
              <w:rPr>
                <w:b w:val="0"/>
              </w:rPr>
              <w:t>School and District Leadership proactively support the essential components of the MTSS framework in the school and their decisions and action work toward making the MTSS framework more effective.</w:t>
            </w:r>
          </w:p>
        </w:tc>
        <w:tc>
          <w:tcPr>
            <w:tcW w:w="919" w:type="dxa"/>
            <w:tcBorders>
              <w:bottom w:val="single" w:sz="4" w:space="0" w:color="auto"/>
            </w:tcBorders>
            <w:vAlign w:val="center"/>
          </w:tcPr>
          <w:p w:rsidR="009E1D79" w:rsidRPr="00563CA0" w:rsidRDefault="009E1D79" w:rsidP="009E1D79">
            <w:pPr>
              <w:pStyle w:val="TableText"/>
            </w:pPr>
          </w:p>
        </w:tc>
        <w:tc>
          <w:tcPr>
            <w:tcW w:w="9810" w:type="dxa"/>
            <w:tcBorders>
              <w:bottom w:val="single" w:sz="4" w:space="0" w:color="auto"/>
            </w:tcBorders>
          </w:tcPr>
          <w:p w:rsidR="009E1D79" w:rsidRPr="00563CA0" w:rsidRDefault="009E1D79" w:rsidP="008371AB">
            <w:pPr>
              <w:pStyle w:val="TableText"/>
            </w:pPr>
          </w:p>
        </w:tc>
      </w:tr>
      <w:tr w:rsidR="009E1D79" w:rsidRPr="00606AA2" w:rsidTr="008371AB">
        <w:tc>
          <w:tcPr>
            <w:tcW w:w="3425" w:type="dxa"/>
            <w:tcBorders>
              <w:bottom w:val="single" w:sz="4" w:space="0" w:color="auto"/>
            </w:tcBorders>
            <w:shd w:val="clear" w:color="auto" w:fill="FF9900"/>
            <w:vAlign w:val="center"/>
          </w:tcPr>
          <w:p w:rsidR="009E1D79" w:rsidRPr="00563CA0" w:rsidRDefault="009E1D79" w:rsidP="009E1D79">
            <w:pPr>
              <w:pStyle w:val="TableTextBold"/>
              <w:rPr>
                <w:b w:val="0"/>
              </w:rPr>
            </w:pPr>
            <w:r w:rsidRPr="00563CA0">
              <w:rPr>
                <w:b w:val="0"/>
              </w:rPr>
              <w:lastRenderedPageBreak/>
              <w:t>The Leadership Team provides a system of support for teachers through coaching, resources materials, mentoring, peer observations, and problem-solving.</w:t>
            </w:r>
          </w:p>
        </w:tc>
        <w:tc>
          <w:tcPr>
            <w:tcW w:w="919" w:type="dxa"/>
            <w:tcBorders>
              <w:bottom w:val="single" w:sz="4" w:space="0" w:color="auto"/>
            </w:tcBorders>
            <w:vAlign w:val="center"/>
          </w:tcPr>
          <w:p w:rsidR="009E1D79" w:rsidRPr="00563CA0" w:rsidRDefault="009E1D79" w:rsidP="009E1D79">
            <w:pPr>
              <w:pStyle w:val="TableText"/>
            </w:pPr>
          </w:p>
        </w:tc>
        <w:tc>
          <w:tcPr>
            <w:tcW w:w="9810" w:type="dxa"/>
            <w:tcBorders>
              <w:bottom w:val="single" w:sz="4" w:space="0" w:color="auto"/>
            </w:tcBorders>
          </w:tcPr>
          <w:p w:rsidR="009E1D79" w:rsidRPr="00563CA0" w:rsidRDefault="009E1D79" w:rsidP="008371AB">
            <w:pPr>
              <w:pStyle w:val="TableText"/>
            </w:pPr>
          </w:p>
        </w:tc>
      </w:tr>
      <w:tr w:rsidR="003D3D38" w:rsidRPr="00606AA2" w:rsidTr="008371AB">
        <w:tc>
          <w:tcPr>
            <w:tcW w:w="3425" w:type="dxa"/>
            <w:shd w:val="clear" w:color="auto" w:fill="FF9900"/>
            <w:vAlign w:val="center"/>
          </w:tcPr>
          <w:p w:rsidR="003D3D38" w:rsidRPr="00563CA0" w:rsidRDefault="005D77A3" w:rsidP="003D3D38">
            <w:pPr>
              <w:pStyle w:val="TableTextBold"/>
              <w:rPr>
                <w:b w:val="0"/>
              </w:rPr>
            </w:pPr>
            <w:r w:rsidRPr="00563CA0">
              <w:rPr>
                <w:b w:val="0"/>
              </w:rPr>
              <w:t>The principal challenges and monitors unsound teaching practices and supports the correction of them.</w:t>
            </w:r>
          </w:p>
        </w:tc>
        <w:tc>
          <w:tcPr>
            <w:tcW w:w="919" w:type="dxa"/>
            <w:vAlign w:val="center"/>
          </w:tcPr>
          <w:p w:rsidR="003D3D38" w:rsidRPr="00563CA0" w:rsidRDefault="003D3D38" w:rsidP="003D3D38">
            <w:pPr>
              <w:pStyle w:val="TableText"/>
            </w:pPr>
          </w:p>
        </w:tc>
        <w:tc>
          <w:tcPr>
            <w:tcW w:w="9810" w:type="dxa"/>
          </w:tcPr>
          <w:p w:rsidR="003D3D38" w:rsidRPr="00563CA0" w:rsidRDefault="003D3D38" w:rsidP="008371AB">
            <w:pPr>
              <w:pStyle w:val="TableText"/>
            </w:pPr>
          </w:p>
        </w:tc>
      </w:tr>
      <w:tr w:rsidR="009E1D79" w:rsidRPr="00606AA2" w:rsidTr="00436942">
        <w:tc>
          <w:tcPr>
            <w:tcW w:w="14154" w:type="dxa"/>
            <w:gridSpan w:val="3"/>
            <w:shd w:val="clear" w:color="auto" w:fill="FABF8F" w:themeFill="accent6" w:themeFillTint="99"/>
            <w:vAlign w:val="center"/>
          </w:tcPr>
          <w:p w:rsidR="009E1D79" w:rsidRPr="00436942" w:rsidRDefault="009E1D79" w:rsidP="009E1D79">
            <w:pPr>
              <w:pStyle w:val="TableText"/>
              <w:jc w:val="center"/>
              <w:rPr>
                <w:b/>
              </w:rPr>
            </w:pPr>
            <w:r w:rsidRPr="00436942">
              <w:rPr>
                <w:b/>
              </w:rPr>
              <w:t>Personnel</w:t>
            </w:r>
          </w:p>
        </w:tc>
      </w:tr>
      <w:tr w:rsidR="003D3D38" w:rsidRPr="00606AA2" w:rsidTr="008371AB">
        <w:tc>
          <w:tcPr>
            <w:tcW w:w="3425" w:type="dxa"/>
            <w:shd w:val="clear" w:color="auto" w:fill="FF9900"/>
            <w:vAlign w:val="center"/>
          </w:tcPr>
          <w:p w:rsidR="003D3D38" w:rsidRPr="00563CA0" w:rsidRDefault="009E1D79" w:rsidP="003D3D38">
            <w:pPr>
              <w:pStyle w:val="TableTextBold"/>
              <w:rPr>
                <w:b w:val="0"/>
              </w:rPr>
            </w:pPr>
            <w:r w:rsidRPr="00563CA0">
              <w:rPr>
                <w:b w:val="0"/>
              </w:rPr>
              <w:t>All staff responsible for providing Tier II and III interventions have been fully trained on MTSS and on the evidence-based interventions used, and ongoing trainings are available as needed.</w:t>
            </w:r>
          </w:p>
        </w:tc>
        <w:tc>
          <w:tcPr>
            <w:tcW w:w="919" w:type="dxa"/>
            <w:vAlign w:val="center"/>
          </w:tcPr>
          <w:p w:rsidR="003D3D38" w:rsidRPr="00563CA0" w:rsidRDefault="003D3D38" w:rsidP="003D3D38">
            <w:pPr>
              <w:pStyle w:val="TableText"/>
            </w:pPr>
          </w:p>
        </w:tc>
        <w:tc>
          <w:tcPr>
            <w:tcW w:w="9810" w:type="dxa"/>
          </w:tcPr>
          <w:p w:rsidR="003D3D38" w:rsidRPr="00563CA0" w:rsidRDefault="003D3D38" w:rsidP="008371AB">
            <w:pPr>
              <w:pStyle w:val="TableText"/>
            </w:pPr>
          </w:p>
        </w:tc>
      </w:tr>
      <w:tr w:rsidR="003D3D38" w:rsidRPr="00606AA2" w:rsidTr="008371AB">
        <w:tc>
          <w:tcPr>
            <w:tcW w:w="3425" w:type="dxa"/>
            <w:shd w:val="clear" w:color="auto" w:fill="FF9900"/>
            <w:vAlign w:val="center"/>
          </w:tcPr>
          <w:p w:rsidR="003D3D38" w:rsidRPr="00563CA0" w:rsidRDefault="009E1D79" w:rsidP="003D3D38">
            <w:pPr>
              <w:pStyle w:val="TableTextBold"/>
              <w:rPr>
                <w:b w:val="0"/>
              </w:rPr>
            </w:pPr>
            <w:r w:rsidRPr="00563CA0">
              <w:rPr>
                <w:b w:val="0"/>
              </w:rPr>
              <w:t>All staff members, including new staff members are trained and included in the MTSS process.</w:t>
            </w:r>
          </w:p>
        </w:tc>
        <w:tc>
          <w:tcPr>
            <w:tcW w:w="919" w:type="dxa"/>
            <w:vAlign w:val="center"/>
          </w:tcPr>
          <w:p w:rsidR="003D3D38" w:rsidRPr="00563CA0" w:rsidRDefault="003D3D38" w:rsidP="003D3D38">
            <w:pPr>
              <w:pStyle w:val="TableText"/>
            </w:pPr>
          </w:p>
        </w:tc>
        <w:tc>
          <w:tcPr>
            <w:tcW w:w="9810" w:type="dxa"/>
          </w:tcPr>
          <w:p w:rsidR="003D3D38" w:rsidRPr="00563CA0" w:rsidRDefault="003D3D38" w:rsidP="008371AB">
            <w:pPr>
              <w:pStyle w:val="TableText"/>
            </w:pPr>
          </w:p>
        </w:tc>
      </w:tr>
      <w:tr w:rsidR="003D3D38" w:rsidRPr="00606AA2" w:rsidTr="008371AB">
        <w:tc>
          <w:tcPr>
            <w:tcW w:w="3425" w:type="dxa"/>
            <w:shd w:val="clear" w:color="auto" w:fill="FF9900"/>
            <w:vAlign w:val="center"/>
          </w:tcPr>
          <w:p w:rsidR="003D3D38" w:rsidRPr="00563CA0" w:rsidRDefault="009E1D79" w:rsidP="003D3D38">
            <w:pPr>
              <w:pStyle w:val="TableTextBold"/>
              <w:rPr>
                <w:b w:val="0"/>
              </w:rPr>
            </w:pPr>
            <w:r w:rsidRPr="00563CA0">
              <w:rPr>
                <w:b w:val="0"/>
              </w:rPr>
              <w:t>School staff receive ongoing professional development on all assessments and assessment procedures.</w:t>
            </w:r>
          </w:p>
        </w:tc>
        <w:tc>
          <w:tcPr>
            <w:tcW w:w="919" w:type="dxa"/>
            <w:vAlign w:val="center"/>
          </w:tcPr>
          <w:p w:rsidR="003D3D38" w:rsidRPr="00563CA0" w:rsidRDefault="003D3D38" w:rsidP="003D3D38">
            <w:pPr>
              <w:pStyle w:val="TableText"/>
            </w:pPr>
          </w:p>
        </w:tc>
        <w:tc>
          <w:tcPr>
            <w:tcW w:w="9810" w:type="dxa"/>
          </w:tcPr>
          <w:p w:rsidR="003D3D38" w:rsidRPr="00563CA0" w:rsidRDefault="003D3D38" w:rsidP="008371AB">
            <w:pPr>
              <w:pStyle w:val="TableText"/>
            </w:pPr>
          </w:p>
        </w:tc>
      </w:tr>
      <w:tr w:rsidR="009E1D79" w:rsidRPr="00606AA2" w:rsidTr="008371AB">
        <w:tc>
          <w:tcPr>
            <w:tcW w:w="3425" w:type="dxa"/>
            <w:shd w:val="clear" w:color="auto" w:fill="FF9900"/>
            <w:vAlign w:val="center"/>
          </w:tcPr>
          <w:p w:rsidR="009E1D79" w:rsidRPr="00563CA0" w:rsidRDefault="009E1D79" w:rsidP="003D3D38">
            <w:pPr>
              <w:pStyle w:val="TableTextBold"/>
              <w:rPr>
                <w:b w:val="0"/>
              </w:rPr>
            </w:pPr>
            <w:r w:rsidRPr="00563CA0">
              <w:rPr>
                <w:b w:val="0"/>
              </w:rPr>
              <w:t>Staff believe that the purpose of MTSS is to prevent students from having academic and behavioral problems.</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9E1D79" w:rsidRPr="00606AA2" w:rsidTr="00436942">
        <w:tc>
          <w:tcPr>
            <w:tcW w:w="14154" w:type="dxa"/>
            <w:gridSpan w:val="3"/>
            <w:shd w:val="clear" w:color="auto" w:fill="FABF8F" w:themeFill="accent6" w:themeFillTint="99"/>
            <w:vAlign w:val="center"/>
          </w:tcPr>
          <w:p w:rsidR="009E1D79" w:rsidRPr="00436942" w:rsidRDefault="009E1D79" w:rsidP="009E1D79">
            <w:pPr>
              <w:pStyle w:val="TableText"/>
              <w:jc w:val="center"/>
              <w:rPr>
                <w:b/>
              </w:rPr>
            </w:pPr>
            <w:r w:rsidRPr="00436942">
              <w:rPr>
                <w:b/>
              </w:rPr>
              <w:t>Screening and Assessment</w:t>
            </w:r>
          </w:p>
        </w:tc>
      </w:tr>
      <w:tr w:rsidR="009E1D79" w:rsidRPr="00606AA2" w:rsidTr="008371AB">
        <w:tc>
          <w:tcPr>
            <w:tcW w:w="3425" w:type="dxa"/>
            <w:shd w:val="clear" w:color="auto" w:fill="FF9900"/>
            <w:vAlign w:val="center"/>
          </w:tcPr>
          <w:p w:rsidR="009E1D79" w:rsidRPr="00563CA0" w:rsidRDefault="009E1D79" w:rsidP="008D1243">
            <w:pPr>
              <w:pStyle w:val="TableTextBold"/>
              <w:rPr>
                <w:b w:val="0"/>
              </w:rPr>
            </w:pPr>
            <w:r w:rsidRPr="00563CA0">
              <w:rPr>
                <w:b w:val="0"/>
              </w:rPr>
              <w:t>Procedures are in place to ensure that the screening is conducted in a manner that ensures accuracy of the results and administered in a consistent manner in accordance with the developer guidelines.</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3D3D38" w:rsidRPr="00606AA2" w:rsidTr="008371AB">
        <w:tc>
          <w:tcPr>
            <w:tcW w:w="3425" w:type="dxa"/>
            <w:shd w:val="clear" w:color="auto" w:fill="FF9900"/>
            <w:vAlign w:val="center"/>
          </w:tcPr>
          <w:p w:rsidR="003D3D38" w:rsidRPr="00563CA0" w:rsidRDefault="009E1D79" w:rsidP="003D3D38">
            <w:pPr>
              <w:pStyle w:val="TableTextBold"/>
              <w:rPr>
                <w:b w:val="0"/>
              </w:rPr>
            </w:pPr>
            <w:r w:rsidRPr="00563CA0">
              <w:rPr>
                <w:b w:val="0"/>
              </w:rPr>
              <w:t>Instruments used for the screening are valid, reliable, and accurately predict which students are at risk of poor learning outcomes or challenging behaviors.</w:t>
            </w:r>
          </w:p>
        </w:tc>
        <w:tc>
          <w:tcPr>
            <w:tcW w:w="919" w:type="dxa"/>
            <w:vAlign w:val="center"/>
          </w:tcPr>
          <w:p w:rsidR="003D3D38" w:rsidRPr="00563CA0" w:rsidRDefault="003D3D38" w:rsidP="003D3D38">
            <w:pPr>
              <w:pStyle w:val="TableText"/>
            </w:pPr>
          </w:p>
        </w:tc>
        <w:tc>
          <w:tcPr>
            <w:tcW w:w="9810" w:type="dxa"/>
          </w:tcPr>
          <w:p w:rsidR="003D3D38" w:rsidRPr="00563CA0" w:rsidRDefault="003D3D38" w:rsidP="008371AB">
            <w:pPr>
              <w:pStyle w:val="TableText"/>
            </w:pPr>
          </w:p>
        </w:tc>
      </w:tr>
      <w:tr w:rsidR="009E1D79" w:rsidRPr="00606AA2" w:rsidTr="008371AB">
        <w:tc>
          <w:tcPr>
            <w:tcW w:w="3425" w:type="dxa"/>
            <w:shd w:val="clear" w:color="auto" w:fill="FF9900"/>
            <w:vAlign w:val="center"/>
          </w:tcPr>
          <w:p w:rsidR="009E1D79" w:rsidRPr="00563CA0" w:rsidRDefault="009E1D79" w:rsidP="003D3D38">
            <w:pPr>
              <w:pStyle w:val="TableTextBold"/>
              <w:rPr>
                <w:b w:val="0"/>
              </w:rPr>
            </w:pPr>
            <w:r w:rsidRPr="00563CA0">
              <w:rPr>
                <w:b w:val="0"/>
              </w:rPr>
              <w:lastRenderedPageBreak/>
              <w:t>All students are screened three times during the school year based on cut points and procedures.</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9E1D79" w:rsidRPr="00606AA2" w:rsidTr="008371AB">
        <w:tc>
          <w:tcPr>
            <w:tcW w:w="3425" w:type="dxa"/>
            <w:shd w:val="clear" w:color="auto" w:fill="FF9900"/>
            <w:vAlign w:val="center"/>
          </w:tcPr>
          <w:p w:rsidR="009E1D79" w:rsidRPr="00563CA0" w:rsidRDefault="009E1D79" w:rsidP="003D3D38">
            <w:pPr>
              <w:pStyle w:val="TableTextBold"/>
              <w:rPr>
                <w:b w:val="0"/>
              </w:rPr>
            </w:pPr>
            <w:r w:rsidRPr="00563CA0">
              <w:rPr>
                <w:b w:val="0"/>
              </w:rPr>
              <w:t xml:space="preserve">Procedures are in place to ensure that the screening produces accurate results and is administered in accordance with </w:t>
            </w:r>
            <w:r w:rsidR="008D1243" w:rsidRPr="00563CA0">
              <w:rPr>
                <w:b w:val="0"/>
              </w:rPr>
              <w:t>developer guidelines.</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9E1D79" w:rsidRPr="00606AA2" w:rsidTr="008371AB">
        <w:tc>
          <w:tcPr>
            <w:tcW w:w="3425" w:type="dxa"/>
            <w:shd w:val="clear" w:color="auto" w:fill="FF9900"/>
            <w:vAlign w:val="center"/>
          </w:tcPr>
          <w:p w:rsidR="009E1D79" w:rsidRPr="00563CA0" w:rsidRDefault="008D1243" w:rsidP="003D3D38">
            <w:pPr>
              <w:pStyle w:val="TableTextBold"/>
              <w:rPr>
                <w:b w:val="0"/>
              </w:rPr>
            </w:pPr>
            <w:r w:rsidRPr="00563CA0">
              <w:rPr>
                <w:b w:val="0"/>
              </w:rPr>
              <w:t>Diagnostic assessments are conducted for individual students as needed to adapt instruction and support interventions to student needs.</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9E1D79" w:rsidRPr="00606AA2" w:rsidTr="008371AB">
        <w:tc>
          <w:tcPr>
            <w:tcW w:w="3425" w:type="dxa"/>
            <w:shd w:val="clear" w:color="auto" w:fill="FF9900"/>
            <w:vAlign w:val="center"/>
          </w:tcPr>
          <w:p w:rsidR="009E1D79" w:rsidRPr="00563CA0" w:rsidRDefault="008D1243" w:rsidP="003D3D38">
            <w:pPr>
              <w:pStyle w:val="TableTextBold"/>
              <w:rPr>
                <w:b w:val="0"/>
              </w:rPr>
            </w:pPr>
            <w:r w:rsidRPr="00563CA0">
              <w:rPr>
                <w:rFonts w:eastAsia="Arial"/>
                <w:b w:val="0"/>
                <w:color w:val="000000"/>
              </w:rPr>
              <w:t>Progress monitoring assessments are conducted bi-weekly for those receiving strategic instruction and weekly for those receiving intensive instruction.</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8D1243" w:rsidRPr="00606AA2" w:rsidTr="00436942">
        <w:tc>
          <w:tcPr>
            <w:tcW w:w="14154" w:type="dxa"/>
            <w:gridSpan w:val="3"/>
            <w:shd w:val="clear" w:color="auto" w:fill="FABF8F" w:themeFill="accent6" w:themeFillTint="99"/>
            <w:vAlign w:val="center"/>
          </w:tcPr>
          <w:p w:rsidR="008D1243" w:rsidRPr="00436942" w:rsidRDefault="008D1243" w:rsidP="008D1243">
            <w:pPr>
              <w:pStyle w:val="TableText"/>
              <w:jc w:val="center"/>
              <w:rPr>
                <w:b/>
              </w:rPr>
            </w:pPr>
            <w:r w:rsidRPr="00436942">
              <w:rPr>
                <w:b/>
              </w:rPr>
              <w:t>Curriculum and Instruction</w:t>
            </w:r>
          </w:p>
        </w:tc>
      </w:tr>
      <w:tr w:rsidR="003D3D38" w:rsidRPr="00606AA2" w:rsidTr="008371AB">
        <w:tc>
          <w:tcPr>
            <w:tcW w:w="3425" w:type="dxa"/>
            <w:shd w:val="clear" w:color="auto" w:fill="FF9900"/>
            <w:vAlign w:val="center"/>
          </w:tcPr>
          <w:p w:rsidR="003D3D38" w:rsidRPr="00563CA0" w:rsidRDefault="009E1D79" w:rsidP="003D3D38">
            <w:pPr>
              <w:pStyle w:val="TableTextBold"/>
              <w:rPr>
                <w:b w:val="0"/>
              </w:rPr>
            </w:pPr>
            <w:r w:rsidRPr="00563CA0">
              <w:rPr>
                <w:b w:val="0"/>
              </w:rPr>
              <w:t>All curriculum materials used for the core curriculum are evidence-based for the target population of learners.</w:t>
            </w:r>
          </w:p>
        </w:tc>
        <w:tc>
          <w:tcPr>
            <w:tcW w:w="919" w:type="dxa"/>
            <w:vAlign w:val="center"/>
          </w:tcPr>
          <w:p w:rsidR="003D3D38" w:rsidRPr="00563CA0" w:rsidRDefault="003D3D38" w:rsidP="003D3D38">
            <w:pPr>
              <w:pStyle w:val="TableText"/>
            </w:pPr>
          </w:p>
        </w:tc>
        <w:tc>
          <w:tcPr>
            <w:tcW w:w="9810" w:type="dxa"/>
          </w:tcPr>
          <w:p w:rsidR="003D3D38" w:rsidRPr="00563CA0" w:rsidRDefault="003D3D38" w:rsidP="008371AB">
            <w:pPr>
              <w:pStyle w:val="TableText"/>
            </w:pPr>
          </w:p>
        </w:tc>
      </w:tr>
      <w:tr w:rsidR="003D3D38" w:rsidRPr="00606AA2" w:rsidTr="008371AB">
        <w:tc>
          <w:tcPr>
            <w:tcW w:w="3425" w:type="dxa"/>
            <w:shd w:val="clear" w:color="auto" w:fill="FF9900"/>
            <w:vAlign w:val="center"/>
          </w:tcPr>
          <w:p w:rsidR="003D3D38" w:rsidRPr="00563CA0" w:rsidRDefault="008D1243" w:rsidP="003D3D38">
            <w:pPr>
              <w:pStyle w:val="TableTextBold"/>
              <w:rPr>
                <w:b w:val="0"/>
              </w:rPr>
            </w:pPr>
            <w:r w:rsidRPr="00563CA0">
              <w:rPr>
                <w:rFonts w:eastAsia="Arial"/>
                <w:b w:val="0"/>
                <w:color w:val="000000"/>
              </w:rPr>
              <w:t>All teachers use student assessment data and knowledge of student readiness, learning preferences, language, and culture to offer students in the same class different teaching and learning strategies to address student needs.</w:t>
            </w:r>
          </w:p>
        </w:tc>
        <w:tc>
          <w:tcPr>
            <w:tcW w:w="919" w:type="dxa"/>
            <w:vAlign w:val="center"/>
          </w:tcPr>
          <w:p w:rsidR="003D3D38" w:rsidRPr="00563CA0" w:rsidRDefault="003D3D38" w:rsidP="003D3D38">
            <w:pPr>
              <w:pStyle w:val="TableText"/>
            </w:pPr>
          </w:p>
        </w:tc>
        <w:tc>
          <w:tcPr>
            <w:tcW w:w="9810" w:type="dxa"/>
          </w:tcPr>
          <w:p w:rsidR="003D3D38" w:rsidRPr="00563CA0" w:rsidRDefault="003D3D38" w:rsidP="008371AB">
            <w:pPr>
              <w:pStyle w:val="TableText"/>
            </w:pPr>
          </w:p>
        </w:tc>
      </w:tr>
      <w:tr w:rsidR="009E1D79" w:rsidRPr="00606AA2" w:rsidTr="008371AB">
        <w:tc>
          <w:tcPr>
            <w:tcW w:w="3425" w:type="dxa"/>
            <w:shd w:val="clear" w:color="auto" w:fill="FF9900"/>
            <w:vAlign w:val="center"/>
          </w:tcPr>
          <w:p w:rsidR="009E1D79" w:rsidRPr="00563CA0" w:rsidRDefault="008D1243" w:rsidP="003D3D38">
            <w:pPr>
              <w:pStyle w:val="TableTextBold"/>
              <w:rPr>
                <w:b w:val="0"/>
              </w:rPr>
            </w:pPr>
            <w:r w:rsidRPr="00563CA0">
              <w:rPr>
                <w:rFonts w:eastAsia="Arial"/>
                <w:b w:val="0"/>
                <w:color w:val="000000"/>
              </w:rPr>
              <w:t>Tier II prevention is closely aligned with the core curriculum and complements the core instruction</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9E1D79" w:rsidRPr="00606AA2" w:rsidTr="008371AB">
        <w:tc>
          <w:tcPr>
            <w:tcW w:w="3425" w:type="dxa"/>
            <w:shd w:val="clear" w:color="auto" w:fill="FF9900"/>
            <w:vAlign w:val="center"/>
          </w:tcPr>
          <w:p w:rsidR="009E1D79" w:rsidRPr="00563CA0" w:rsidRDefault="008D1243" w:rsidP="003D3D38">
            <w:pPr>
              <w:pStyle w:val="TableTextBold"/>
              <w:rPr>
                <w:b w:val="0"/>
              </w:rPr>
            </w:pPr>
            <w:r w:rsidRPr="00563CA0">
              <w:rPr>
                <w:rFonts w:eastAsia="Arial"/>
                <w:b w:val="0"/>
                <w:color w:val="000000"/>
              </w:rPr>
              <w:t>Tier II interventions involve teacher-led small group instruction where the group size is optimal for the age and needs of the students.</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8D1243" w:rsidRPr="00606AA2" w:rsidTr="00436942">
        <w:tc>
          <w:tcPr>
            <w:tcW w:w="14154" w:type="dxa"/>
            <w:gridSpan w:val="3"/>
            <w:shd w:val="clear" w:color="auto" w:fill="FABF8F" w:themeFill="accent6" w:themeFillTint="99"/>
            <w:vAlign w:val="center"/>
          </w:tcPr>
          <w:p w:rsidR="008D1243" w:rsidRPr="00436942" w:rsidRDefault="008D1243" w:rsidP="008D1243">
            <w:pPr>
              <w:pStyle w:val="TableText"/>
              <w:jc w:val="center"/>
              <w:rPr>
                <w:b/>
              </w:rPr>
            </w:pPr>
            <w:r w:rsidRPr="00436942">
              <w:rPr>
                <w:b/>
              </w:rPr>
              <w:t>Interventions</w:t>
            </w:r>
          </w:p>
        </w:tc>
      </w:tr>
      <w:tr w:rsidR="009E1D79" w:rsidRPr="00606AA2" w:rsidTr="008371AB">
        <w:tc>
          <w:tcPr>
            <w:tcW w:w="3425" w:type="dxa"/>
            <w:shd w:val="clear" w:color="auto" w:fill="FF9900"/>
            <w:vAlign w:val="center"/>
          </w:tcPr>
          <w:p w:rsidR="009E1D79" w:rsidRPr="00563CA0" w:rsidRDefault="008D1243" w:rsidP="003D3D38">
            <w:pPr>
              <w:pStyle w:val="TableTextBold"/>
              <w:rPr>
                <w:b w:val="0"/>
              </w:rPr>
            </w:pPr>
            <w:r w:rsidRPr="00563CA0">
              <w:rPr>
                <w:rFonts w:eastAsia="Arial"/>
                <w:b w:val="0"/>
                <w:color w:val="000000"/>
              </w:rPr>
              <w:t xml:space="preserve">Tier II interventions are based on data </w:t>
            </w:r>
            <w:r w:rsidRPr="00563CA0">
              <w:rPr>
                <w:rFonts w:eastAsia="Arial"/>
                <w:b w:val="0"/>
                <w:color w:val="000000"/>
              </w:rPr>
              <w:lastRenderedPageBreak/>
              <w:t xml:space="preserve">from scientific, rigorous research designs that have demonstrated the efficacy of the intervention.  </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9E1D79" w:rsidRPr="00606AA2" w:rsidTr="008371AB">
        <w:tc>
          <w:tcPr>
            <w:tcW w:w="3425" w:type="dxa"/>
            <w:shd w:val="clear" w:color="auto" w:fill="FF9900"/>
            <w:vAlign w:val="center"/>
          </w:tcPr>
          <w:p w:rsidR="009E1D79" w:rsidRPr="00563CA0" w:rsidRDefault="008D1243" w:rsidP="003D3D38">
            <w:pPr>
              <w:pStyle w:val="TableTextBold"/>
              <w:rPr>
                <w:b w:val="0"/>
              </w:rPr>
            </w:pPr>
            <w:r w:rsidRPr="00563CA0">
              <w:rPr>
                <w:rFonts w:eastAsia="Arial"/>
                <w:b w:val="0"/>
                <w:color w:val="000000"/>
              </w:rPr>
              <w:lastRenderedPageBreak/>
              <w:t>Tier II interventions are well defined in terms of curriculum, duration, frequency, and length of sessions.</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9E1D79" w:rsidRPr="00606AA2" w:rsidTr="008371AB">
        <w:tc>
          <w:tcPr>
            <w:tcW w:w="3425" w:type="dxa"/>
            <w:shd w:val="clear" w:color="auto" w:fill="FF9900"/>
            <w:vAlign w:val="center"/>
          </w:tcPr>
          <w:p w:rsidR="009E1D79" w:rsidRPr="00563CA0" w:rsidRDefault="008D1243" w:rsidP="003D3D38">
            <w:pPr>
              <w:pStyle w:val="TableTextBold"/>
              <w:rPr>
                <w:b w:val="0"/>
              </w:rPr>
            </w:pPr>
            <w:r w:rsidRPr="00563CA0">
              <w:rPr>
                <w:rFonts w:eastAsia="Arial"/>
                <w:b w:val="0"/>
                <w:color w:val="000000"/>
              </w:rPr>
              <w:t>Tier II interventions are implemented using a standard protocol, with procedures to monitor implementation fidelity.</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9E1D79" w:rsidRPr="00606AA2" w:rsidTr="008371AB">
        <w:tc>
          <w:tcPr>
            <w:tcW w:w="3425" w:type="dxa"/>
            <w:shd w:val="clear" w:color="auto" w:fill="FF9900"/>
            <w:vAlign w:val="center"/>
          </w:tcPr>
          <w:p w:rsidR="009E1D79" w:rsidRPr="00563CA0" w:rsidRDefault="008D1243" w:rsidP="003D3D38">
            <w:pPr>
              <w:pStyle w:val="TableTextBold"/>
              <w:rPr>
                <w:b w:val="0"/>
              </w:rPr>
            </w:pPr>
            <w:r w:rsidRPr="00563CA0">
              <w:rPr>
                <w:rFonts w:eastAsia="Arial"/>
                <w:b w:val="0"/>
                <w:color w:val="000000"/>
              </w:rPr>
              <w:t>Tier II interventions are in addition to the Tier I intervention.</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9E1D79" w:rsidRPr="00606AA2" w:rsidTr="008371AB">
        <w:tc>
          <w:tcPr>
            <w:tcW w:w="3425" w:type="dxa"/>
            <w:shd w:val="clear" w:color="auto" w:fill="FF9900"/>
            <w:vAlign w:val="center"/>
          </w:tcPr>
          <w:p w:rsidR="009E1D79" w:rsidRPr="00563CA0" w:rsidRDefault="008D1243" w:rsidP="003D3D38">
            <w:pPr>
              <w:pStyle w:val="TableTextBold"/>
              <w:rPr>
                <w:b w:val="0"/>
              </w:rPr>
            </w:pPr>
            <w:r w:rsidRPr="00563CA0">
              <w:rPr>
                <w:rFonts w:eastAsia="Arial"/>
                <w:b w:val="0"/>
                <w:color w:val="000000"/>
              </w:rPr>
              <w:t>Tier III interventions are based on data from scientific, rigorous research designs that have demonstrated the efficacy of the intervention.</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9E1D79" w:rsidRPr="00606AA2" w:rsidTr="008371AB">
        <w:tc>
          <w:tcPr>
            <w:tcW w:w="3425" w:type="dxa"/>
            <w:shd w:val="clear" w:color="auto" w:fill="FF9900"/>
            <w:vAlign w:val="center"/>
          </w:tcPr>
          <w:p w:rsidR="009E1D79" w:rsidRPr="00563CA0" w:rsidRDefault="008D1243" w:rsidP="003D3D38">
            <w:pPr>
              <w:pStyle w:val="TableTextBold"/>
              <w:rPr>
                <w:b w:val="0"/>
              </w:rPr>
            </w:pPr>
            <w:r w:rsidRPr="00563CA0">
              <w:rPr>
                <w:rFonts w:eastAsia="Arial"/>
                <w:b w:val="0"/>
                <w:color w:val="000000"/>
              </w:rPr>
              <w:t>Tier III interventions are implemented using a standard protocol, with procedures to monitor implementation fidelity.</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9E1D79" w:rsidRPr="00606AA2" w:rsidTr="008371AB">
        <w:tc>
          <w:tcPr>
            <w:tcW w:w="3425" w:type="dxa"/>
            <w:shd w:val="clear" w:color="auto" w:fill="FF9900"/>
            <w:vAlign w:val="center"/>
          </w:tcPr>
          <w:p w:rsidR="009E1D79" w:rsidRPr="00563CA0" w:rsidRDefault="008D1243" w:rsidP="003D3D38">
            <w:pPr>
              <w:pStyle w:val="TableTextBold"/>
              <w:rPr>
                <w:b w:val="0"/>
              </w:rPr>
            </w:pPr>
            <w:r w:rsidRPr="00563CA0">
              <w:rPr>
                <w:rFonts w:eastAsia="Arial"/>
                <w:b w:val="0"/>
                <w:color w:val="000000"/>
              </w:rPr>
              <w:t>Tier III interventions are more intense than Tier II interventions and are continuously adjusted and individualized to address the needs of each student.</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9E1D79" w:rsidRPr="00606AA2" w:rsidTr="008371AB">
        <w:tc>
          <w:tcPr>
            <w:tcW w:w="3425" w:type="dxa"/>
            <w:shd w:val="clear" w:color="auto" w:fill="FF9900"/>
            <w:vAlign w:val="center"/>
          </w:tcPr>
          <w:p w:rsidR="009E1D79" w:rsidRPr="00563CA0" w:rsidRDefault="008D1243" w:rsidP="003D3D38">
            <w:pPr>
              <w:pStyle w:val="TableTextBold"/>
              <w:rPr>
                <w:b w:val="0"/>
              </w:rPr>
            </w:pPr>
            <w:r w:rsidRPr="00563CA0">
              <w:rPr>
                <w:rFonts w:eastAsia="Arial"/>
                <w:b w:val="0"/>
                <w:color w:val="000000"/>
              </w:rPr>
              <w:t>Tier III interventions are in addition to Tier I interventions.</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8D1243" w:rsidRPr="00606AA2" w:rsidTr="00436942">
        <w:tc>
          <w:tcPr>
            <w:tcW w:w="14154" w:type="dxa"/>
            <w:gridSpan w:val="3"/>
            <w:shd w:val="clear" w:color="auto" w:fill="FABF8F" w:themeFill="accent6" w:themeFillTint="99"/>
            <w:vAlign w:val="center"/>
          </w:tcPr>
          <w:p w:rsidR="008D1243" w:rsidRPr="00436942" w:rsidRDefault="008D1243" w:rsidP="008D1243">
            <w:pPr>
              <w:pStyle w:val="TableText"/>
              <w:jc w:val="center"/>
              <w:rPr>
                <w:b/>
              </w:rPr>
            </w:pPr>
            <w:r w:rsidRPr="00436942">
              <w:rPr>
                <w:b/>
              </w:rPr>
              <w:t>Data and Determination</w:t>
            </w:r>
          </w:p>
        </w:tc>
      </w:tr>
      <w:tr w:rsidR="009E1D79" w:rsidRPr="00606AA2" w:rsidTr="008371AB">
        <w:tc>
          <w:tcPr>
            <w:tcW w:w="3425" w:type="dxa"/>
            <w:shd w:val="clear" w:color="auto" w:fill="FF9900"/>
            <w:vAlign w:val="center"/>
          </w:tcPr>
          <w:p w:rsidR="009E1D79" w:rsidRPr="00563CA0" w:rsidRDefault="008D1243" w:rsidP="003D3D38">
            <w:pPr>
              <w:pStyle w:val="TableTextBold"/>
              <w:rPr>
                <w:b w:val="0"/>
              </w:rPr>
            </w:pPr>
            <w:r w:rsidRPr="00563CA0">
              <w:rPr>
                <w:rFonts w:eastAsia="Arial"/>
                <w:b w:val="0"/>
                <w:color w:val="000000"/>
              </w:rPr>
              <w:t>Learning trajectories are established for all Tier III students and progress monitoring data is compared to the learning trajectory to determine the degree to which the student is making adequate progress.</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9E1D79" w:rsidRPr="00606AA2" w:rsidTr="008371AB">
        <w:tc>
          <w:tcPr>
            <w:tcW w:w="3425" w:type="dxa"/>
            <w:shd w:val="clear" w:color="auto" w:fill="FF9900"/>
            <w:vAlign w:val="center"/>
          </w:tcPr>
          <w:p w:rsidR="009E1D79" w:rsidRPr="00563CA0" w:rsidRDefault="008D1243" w:rsidP="003D3D38">
            <w:pPr>
              <w:pStyle w:val="TableTextBold"/>
              <w:rPr>
                <w:b w:val="0"/>
              </w:rPr>
            </w:pPr>
            <w:r w:rsidRPr="00563CA0">
              <w:rPr>
                <w:rFonts w:eastAsia="Arial"/>
                <w:b w:val="0"/>
                <w:color w:val="000000"/>
              </w:rPr>
              <w:t xml:space="preserve">Evidence documents that the tools used for progress monitoring are valid, </w:t>
            </w:r>
            <w:r w:rsidRPr="00563CA0">
              <w:rPr>
                <w:rFonts w:eastAsia="Arial"/>
                <w:b w:val="0"/>
                <w:color w:val="000000"/>
              </w:rPr>
              <w:lastRenderedPageBreak/>
              <w:t>reliable, and accurately measures students’ academic (or behavioral) development.</w:t>
            </w:r>
          </w:p>
        </w:tc>
        <w:tc>
          <w:tcPr>
            <w:tcW w:w="919" w:type="dxa"/>
            <w:vAlign w:val="center"/>
          </w:tcPr>
          <w:p w:rsidR="009E1D79" w:rsidRPr="00563CA0" w:rsidRDefault="009E1D79" w:rsidP="003D3D38">
            <w:pPr>
              <w:pStyle w:val="TableText"/>
            </w:pPr>
          </w:p>
        </w:tc>
        <w:tc>
          <w:tcPr>
            <w:tcW w:w="9810" w:type="dxa"/>
          </w:tcPr>
          <w:p w:rsidR="009E1D79" w:rsidRPr="00563CA0" w:rsidRDefault="009E1D79" w:rsidP="008371AB">
            <w:pPr>
              <w:pStyle w:val="TableText"/>
            </w:pPr>
          </w:p>
        </w:tc>
      </w:tr>
      <w:tr w:rsidR="009E1D79" w:rsidRPr="00606AA2" w:rsidTr="008371AB">
        <w:tc>
          <w:tcPr>
            <w:tcW w:w="3425" w:type="dxa"/>
            <w:shd w:val="clear" w:color="auto" w:fill="FF9900"/>
            <w:vAlign w:val="center"/>
          </w:tcPr>
          <w:p w:rsidR="009E1D79" w:rsidRPr="00563CA0" w:rsidRDefault="008D1243" w:rsidP="003D3D38">
            <w:pPr>
              <w:pStyle w:val="TableTextBold"/>
              <w:rPr>
                <w:b w:val="0"/>
              </w:rPr>
            </w:pPr>
            <w:r w:rsidRPr="00563CA0">
              <w:rPr>
                <w:rFonts w:eastAsia="Arial"/>
                <w:b w:val="0"/>
                <w:color w:val="000000"/>
              </w:rPr>
              <w:lastRenderedPageBreak/>
              <w:t>The framework includes a well-defined mechanism for making data-driven decisions regarding the placement of students in the appropriate prevention levels, with a process that includes broad base of stakeholders and includes clear criteria and guidelines for placing students in each prevention level beyond Tier I prevention.</w:t>
            </w:r>
          </w:p>
        </w:tc>
        <w:tc>
          <w:tcPr>
            <w:tcW w:w="919" w:type="dxa"/>
            <w:vAlign w:val="center"/>
          </w:tcPr>
          <w:p w:rsidR="009E1D79" w:rsidRPr="00606AA2" w:rsidRDefault="009E1D79" w:rsidP="003D3D38">
            <w:pPr>
              <w:pStyle w:val="TableText"/>
            </w:pPr>
          </w:p>
        </w:tc>
        <w:tc>
          <w:tcPr>
            <w:tcW w:w="9810" w:type="dxa"/>
          </w:tcPr>
          <w:p w:rsidR="009E1D79" w:rsidRPr="00606AA2" w:rsidRDefault="009E1D79" w:rsidP="008371AB">
            <w:pPr>
              <w:pStyle w:val="TableText"/>
            </w:pPr>
          </w:p>
        </w:tc>
      </w:tr>
      <w:tr w:rsidR="008D1243" w:rsidRPr="00606AA2" w:rsidTr="008371AB">
        <w:tc>
          <w:tcPr>
            <w:tcW w:w="3425" w:type="dxa"/>
            <w:shd w:val="clear" w:color="auto" w:fill="FF9900"/>
            <w:vAlign w:val="center"/>
          </w:tcPr>
          <w:p w:rsidR="008D1243" w:rsidRPr="00563CA0" w:rsidRDefault="008D1243" w:rsidP="003D3D38">
            <w:pPr>
              <w:pStyle w:val="TableTextBold"/>
              <w:rPr>
                <w:b w:val="0"/>
              </w:rPr>
            </w:pPr>
            <w:r w:rsidRPr="00563CA0">
              <w:rPr>
                <w:rFonts w:eastAsia="Arial"/>
                <w:b w:val="0"/>
                <w:color w:val="000000"/>
              </w:rPr>
              <w:t>Screening, progress monitoring, and other assessment data are used to inform instructional practice at all levels with the goal that instruction is effective with the vast majority of students served.</w:t>
            </w:r>
          </w:p>
        </w:tc>
        <w:tc>
          <w:tcPr>
            <w:tcW w:w="919" w:type="dxa"/>
            <w:vAlign w:val="center"/>
          </w:tcPr>
          <w:p w:rsidR="008D1243" w:rsidRPr="00606AA2" w:rsidRDefault="008D1243" w:rsidP="003D3D38">
            <w:pPr>
              <w:pStyle w:val="TableText"/>
            </w:pPr>
          </w:p>
        </w:tc>
        <w:tc>
          <w:tcPr>
            <w:tcW w:w="9810" w:type="dxa"/>
          </w:tcPr>
          <w:p w:rsidR="008D1243" w:rsidRPr="00606AA2" w:rsidRDefault="008D1243" w:rsidP="008371AB">
            <w:pPr>
              <w:pStyle w:val="TableText"/>
            </w:pPr>
          </w:p>
        </w:tc>
      </w:tr>
      <w:tr w:rsidR="008D1243" w:rsidRPr="00606AA2" w:rsidTr="008371AB">
        <w:tc>
          <w:tcPr>
            <w:tcW w:w="3425" w:type="dxa"/>
            <w:shd w:val="clear" w:color="auto" w:fill="FF9900"/>
            <w:vAlign w:val="center"/>
          </w:tcPr>
          <w:p w:rsidR="008D1243" w:rsidRPr="00563CA0" w:rsidRDefault="008D1243" w:rsidP="003D3D38">
            <w:pPr>
              <w:pStyle w:val="TableTextBold"/>
              <w:rPr>
                <w:b w:val="0"/>
              </w:rPr>
            </w:pPr>
            <w:r w:rsidRPr="00563CA0">
              <w:rPr>
                <w:rFonts w:eastAsia="Arial"/>
                <w:b w:val="0"/>
                <w:color w:val="000000"/>
              </w:rPr>
              <w:t>Data are analyzed, decisions are made, and students receive appropriate intervention in a timely manner.</w:t>
            </w:r>
          </w:p>
        </w:tc>
        <w:tc>
          <w:tcPr>
            <w:tcW w:w="919" w:type="dxa"/>
            <w:vAlign w:val="center"/>
          </w:tcPr>
          <w:p w:rsidR="008D1243" w:rsidRPr="00606AA2" w:rsidRDefault="008D1243" w:rsidP="003D3D38">
            <w:pPr>
              <w:pStyle w:val="TableText"/>
            </w:pPr>
          </w:p>
        </w:tc>
        <w:tc>
          <w:tcPr>
            <w:tcW w:w="9810" w:type="dxa"/>
          </w:tcPr>
          <w:p w:rsidR="008D1243" w:rsidRPr="00606AA2" w:rsidRDefault="008D1243" w:rsidP="008371AB">
            <w:pPr>
              <w:pStyle w:val="TableText"/>
            </w:pPr>
          </w:p>
        </w:tc>
      </w:tr>
      <w:tr w:rsidR="008D1243" w:rsidRPr="00606AA2" w:rsidTr="00436942">
        <w:tc>
          <w:tcPr>
            <w:tcW w:w="14154" w:type="dxa"/>
            <w:gridSpan w:val="3"/>
            <w:shd w:val="clear" w:color="auto" w:fill="FABF8F" w:themeFill="accent6" w:themeFillTint="99"/>
            <w:vAlign w:val="center"/>
          </w:tcPr>
          <w:p w:rsidR="008D1243" w:rsidRPr="00563CA0" w:rsidRDefault="008D1243" w:rsidP="008D1243">
            <w:pPr>
              <w:pStyle w:val="TableText"/>
              <w:jc w:val="center"/>
              <w:rPr>
                <w:b/>
              </w:rPr>
            </w:pPr>
            <w:r w:rsidRPr="00563CA0">
              <w:rPr>
                <w:b/>
              </w:rPr>
              <w:t>Communication with Parents</w:t>
            </w:r>
          </w:p>
        </w:tc>
      </w:tr>
      <w:tr w:rsidR="008D1243" w:rsidRPr="00606AA2" w:rsidTr="008371AB">
        <w:tc>
          <w:tcPr>
            <w:tcW w:w="3425" w:type="dxa"/>
            <w:shd w:val="clear" w:color="auto" w:fill="FF9900"/>
            <w:vAlign w:val="center"/>
          </w:tcPr>
          <w:p w:rsidR="008D1243" w:rsidRPr="00563CA0" w:rsidRDefault="008D1243" w:rsidP="008D1243">
            <w:pPr>
              <w:pStyle w:val="TableTextBold"/>
              <w:rPr>
                <w:b w:val="0"/>
              </w:rPr>
            </w:pPr>
            <w:r w:rsidRPr="00563CA0">
              <w:rPr>
                <w:rFonts w:eastAsia="Arial"/>
                <w:b w:val="0"/>
                <w:color w:val="000000"/>
              </w:rPr>
              <w:t>The MTSS framework includes an implemented mechanism for keeping parents/guardians of students receiving both Tier II and  Tier III intervention fully informed of the intervention and the progress of their child, and parents are actively engaged in supporting the MTSS framework.</w:t>
            </w:r>
          </w:p>
        </w:tc>
        <w:tc>
          <w:tcPr>
            <w:tcW w:w="919" w:type="dxa"/>
            <w:vAlign w:val="center"/>
          </w:tcPr>
          <w:p w:rsidR="008D1243" w:rsidRPr="00606AA2" w:rsidRDefault="008D1243" w:rsidP="003D3D38">
            <w:pPr>
              <w:pStyle w:val="TableText"/>
            </w:pPr>
          </w:p>
        </w:tc>
        <w:tc>
          <w:tcPr>
            <w:tcW w:w="9810" w:type="dxa"/>
          </w:tcPr>
          <w:p w:rsidR="008D1243" w:rsidRPr="00606AA2" w:rsidRDefault="008D1243" w:rsidP="008371AB">
            <w:pPr>
              <w:pStyle w:val="TableText"/>
            </w:pPr>
          </w:p>
        </w:tc>
      </w:tr>
    </w:tbl>
    <w:p w:rsidR="003D3D38" w:rsidRDefault="00637B3B" w:rsidP="003D3D38">
      <w:pPr>
        <w:rPr>
          <w:b/>
          <w:u w:val="single"/>
        </w:rPr>
      </w:pPr>
      <w:r>
        <w:rPr>
          <w:b/>
          <w:u w:val="single"/>
        </w:rPr>
        <w:t>Additional Comments/Evidence:</w:t>
      </w:r>
    </w:p>
    <w:p w:rsidR="00637B3B" w:rsidRPr="00637B3B" w:rsidRDefault="00637B3B" w:rsidP="003D3D38">
      <w:pPr>
        <w:rPr>
          <w:b/>
          <w:u w:val="single"/>
        </w:rPr>
      </w:pPr>
      <w:r>
        <w:rPr>
          <w:b/>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637B3B" w:rsidRPr="00637B3B" w:rsidSect="002A77F9">
      <w:headerReference w:type="default" r:id="rId8"/>
      <w:pgSz w:w="15840" w:h="12240" w:orient="landscape" w:code="1"/>
      <w:pgMar w:top="720" w:right="720" w:bottom="720" w:left="72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142" w:rsidRDefault="00686142">
      <w:r>
        <w:separator/>
      </w:r>
    </w:p>
    <w:p w:rsidR="00686142" w:rsidRDefault="00686142"/>
    <w:p w:rsidR="00686142" w:rsidRDefault="00686142" w:rsidP="00636086"/>
    <w:p w:rsidR="00686142" w:rsidRDefault="00686142" w:rsidP="00636086"/>
  </w:endnote>
  <w:endnote w:type="continuationSeparator" w:id="0">
    <w:p w:rsidR="00686142" w:rsidRDefault="00686142">
      <w:r>
        <w:continuationSeparator/>
      </w:r>
    </w:p>
    <w:p w:rsidR="00686142" w:rsidRDefault="00686142"/>
    <w:p w:rsidR="00686142" w:rsidRDefault="00686142" w:rsidP="00636086"/>
    <w:p w:rsidR="00686142" w:rsidRDefault="00686142" w:rsidP="00636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142" w:rsidRDefault="00686142">
      <w:r>
        <w:separator/>
      </w:r>
    </w:p>
    <w:p w:rsidR="00686142" w:rsidRDefault="00686142"/>
    <w:p w:rsidR="00686142" w:rsidRDefault="00686142" w:rsidP="00636086"/>
    <w:p w:rsidR="00686142" w:rsidRDefault="00686142" w:rsidP="00636086"/>
  </w:footnote>
  <w:footnote w:type="continuationSeparator" w:id="0">
    <w:p w:rsidR="00686142" w:rsidRDefault="00686142">
      <w:r>
        <w:continuationSeparator/>
      </w:r>
    </w:p>
    <w:p w:rsidR="00686142" w:rsidRDefault="00686142"/>
    <w:p w:rsidR="00686142" w:rsidRDefault="00686142" w:rsidP="00636086"/>
    <w:p w:rsidR="00686142" w:rsidRDefault="00686142" w:rsidP="006360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13464"/>
      <w:gridCol w:w="1152"/>
    </w:tblGrid>
    <w:tr w:rsidR="000168EA" w:rsidTr="000168EA">
      <w:tc>
        <w:tcPr>
          <w:tcW w:w="0" w:type="auto"/>
          <w:tcBorders>
            <w:right w:val="single" w:sz="6" w:space="0" w:color="000000"/>
          </w:tcBorders>
        </w:tcPr>
        <w:sdt>
          <w:sdtPr>
            <w:rPr>
              <w:b/>
              <w:bCs/>
            </w:rPr>
            <w:alias w:val="Title"/>
            <w:id w:val="-1231622682"/>
            <w:placeholder>
              <w:docPart w:val="57DF0AA426804977B25E777D398F4609"/>
            </w:placeholder>
            <w:dataBinding w:prefixMappings="xmlns:ns0='http://schemas.openxmlformats.org/package/2006/metadata/core-properties' xmlns:ns1='http://purl.org/dc/elements/1.1/'" w:xpath="/ns0:coreProperties[1]/ns1:title[1]" w:storeItemID="{6C3C8BC8-F283-45AE-878A-BAB7291924A1}"/>
            <w:text/>
          </w:sdtPr>
          <w:sdtEndPr/>
          <w:sdtContent>
            <w:p w:rsidR="000168EA" w:rsidRDefault="000168EA" w:rsidP="00637B3B">
              <w:pPr>
                <w:pStyle w:val="Header"/>
                <w:jc w:val="right"/>
                <w:rPr>
                  <w:b/>
                  <w:bCs/>
                </w:rPr>
              </w:pPr>
              <w:r>
                <w:rPr>
                  <w:b/>
                  <w:bCs/>
                </w:rPr>
                <w:t>06/</w:t>
              </w:r>
              <w:r w:rsidR="00825A52">
                <w:rPr>
                  <w:b/>
                  <w:bCs/>
                </w:rPr>
                <w:t>1</w:t>
              </w:r>
              <w:r w:rsidR="00637B3B">
                <w:rPr>
                  <w:b/>
                  <w:bCs/>
                </w:rPr>
                <w:t>1</w:t>
              </w:r>
              <w:r>
                <w:rPr>
                  <w:b/>
                  <w:bCs/>
                </w:rPr>
                <w:t>/2013</w:t>
              </w:r>
            </w:p>
          </w:sdtContent>
        </w:sdt>
      </w:tc>
      <w:tc>
        <w:tcPr>
          <w:tcW w:w="1152" w:type="dxa"/>
          <w:tcBorders>
            <w:left w:val="single" w:sz="6" w:space="0" w:color="000000"/>
          </w:tcBorders>
        </w:tcPr>
        <w:p w:rsidR="000168EA" w:rsidRDefault="000168EA">
          <w:pPr>
            <w:pStyle w:val="Header"/>
            <w:rPr>
              <w:b/>
              <w:bCs/>
            </w:rPr>
          </w:pPr>
          <w:r>
            <w:fldChar w:fldCharType="begin"/>
          </w:r>
          <w:r>
            <w:instrText xml:space="preserve"> PAGE   \* MERGEFORMAT </w:instrText>
          </w:r>
          <w:r>
            <w:fldChar w:fldCharType="separate"/>
          </w:r>
          <w:r w:rsidR="00BC463D">
            <w:rPr>
              <w:noProof/>
            </w:rPr>
            <w:t>2</w:t>
          </w:r>
          <w:r>
            <w:rPr>
              <w:noProof/>
            </w:rPr>
            <w:fldChar w:fldCharType="end"/>
          </w:r>
        </w:p>
      </w:tc>
    </w:tr>
  </w:tbl>
  <w:p w:rsidR="000168EA" w:rsidRDefault="000168EA">
    <w:pPr>
      <w:pStyle w:val="Header"/>
    </w:pPr>
  </w:p>
  <w:p w:rsidR="007856D1" w:rsidRDefault="007856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46ECF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3E61A3"/>
    <w:multiLevelType w:val="hybridMultilevel"/>
    <w:tmpl w:val="E33E8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5D4694D"/>
    <w:multiLevelType w:val="hybridMultilevel"/>
    <w:tmpl w:val="0DC82A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A8E382E"/>
    <w:multiLevelType w:val="hybridMultilevel"/>
    <w:tmpl w:val="D05AAA7C"/>
    <w:lvl w:ilvl="0" w:tplc="C164C4A0">
      <w:numFmt w:val="bullet"/>
      <w:pStyle w:val="BodyTextIndent"/>
      <w:lvlText w:val=""/>
      <w:lvlJc w:val="left"/>
      <w:pPr>
        <w:tabs>
          <w:tab w:val="num" w:pos="1440"/>
        </w:tabs>
        <w:ind w:left="1440" w:hanging="720"/>
      </w:pPr>
      <w:rPr>
        <w:rFonts w:ascii="Wingdings" w:eastAsia="Times New Roman" w:hAnsi="Wingdings" w:cs="Times New Roman" w:hint="default"/>
        <w:b/>
        <w:color w:val="FF990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8EA"/>
    <w:rsid w:val="000168EA"/>
    <w:rsid w:val="000D4C36"/>
    <w:rsid w:val="00182177"/>
    <w:rsid w:val="001D5165"/>
    <w:rsid w:val="002841ED"/>
    <w:rsid w:val="002A77F9"/>
    <w:rsid w:val="002D0C29"/>
    <w:rsid w:val="002E5DE2"/>
    <w:rsid w:val="002F4BC9"/>
    <w:rsid w:val="0030388D"/>
    <w:rsid w:val="00351CD1"/>
    <w:rsid w:val="00380023"/>
    <w:rsid w:val="0039685D"/>
    <w:rsid w:val="003D3D38"/>
    <w:rsid w:val="00436942"/>
    <w:rsid w:val="00471D49"/>
    <w:rsid w:val="004A78EE"/>
    <w:rsid w:val="004B78F1"/>
    <w:rsid w:val="004D068B"/>
    <w:rsid w:val="005101A0"/>
    <w:rsid w:val="00563CA0"/>
    <w:rsid w:val="00570BA1"/>
    <w:rsid w:val="00576E32"/>
    <w:rsid w:val="00583F01"/>
    <w:rsid w:val="005D77A3"/>
    <w:rsid w:val="0060244B"/>
    <w:rsid w:val="00606AA2"/>
    <w:rsid w:val="00636086"/>
    <w:rsid w:val="00637B3B"/>
    <w:rsid w:val="00641221"/>
    <w:rsid w:val="00686142"/>
    <w:rsid w:val="006A576B"/>
    <w:rsid w:val="006B0B2C"/>
    <w:rsid w:val="006C2B5C"/>
    <w:rsid w:val="006E6A91"/>
    <w:rsid w:val="006F137C"/>
    <w:rsid w:val="00712377"/>
    <w:rsid w:val="00735C70"/>
    <w:rsid w:val="007856D1"/>
    <w:rsid w:val="00797560"/>
    <w:rsid w:val="00825A52"/>
    <w:rsid w:val="008371AB"/>
    <w:rsid w:val="00853F12"/>
    <w:rsid w:val="00874315"/>
    <w:rsid w:val="00876440"/>
    <w:rsid w:val="008D1243"/>
    <w:rsid w:val="008E4B03"/>
    <w:rsid w:val="009453DF"/>
    <w:rsid w:val="009635A9"/>
    <w:rsid w:val="00995CC5"/>
    <w:rsid w:val="009E1D79"/>
    <w:rsid w:val="00A81F6C"/>
    <w:rsid w:val="00B047B4"/>
    <w:rsid w:val="00B20603"/>
    <w:rsid w:val="00B93B64"/>
    <w:rsid w:val="00BB29FF"/>
    <w:rsid w:val="00BC463D"/>
    <w:rsid w:val="00C12716"/>
    <w:rsid w:val="00C4183B"/>
    <w:rsid w:val="00C93FC7"/>
    <w:rsid w:val="00CB2362"/>
    <w:rsid w:val="00D41984"/>
    <w:rsid w:val="00D53CE1"/>
    <w:rsid w:val="00DE1336"/>
    <w:rsid w:val="00E02C5D"/>
    <w:rsid w:val="00E67114"/>
    <w:rsid w:val="00EB4EF3"/>
    <w:rsid w:val="00EE00A9"/>
    <w:rsid w:val="00F40E0B"/>
    <w:rsid w:val="00FC15B2"/>
    <w:rsid w:val="00FD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06AA2"/>
    <w:pPr>
      <w:spacing w:before="120" w:after="120" w:line="280" w:lineRule="exact"/>
    </w:pPr>
    <w:rPr>
      <w:rFonts w:ascii="Georgia" w:hAnsi="Georgia"/>
    </w:rPr>
  </w:style>
  <w:style w:type="paragraph" w:styleId="Heading1">
    <w:name w:val="heading 1"/>
    <w:basedOn w:val="Normal"/>
    <w:next w:val="Normal"/>
    <w:autoRedefine/>
    <w:qFormat/>
    <w:rsid w:val="002A77F9"/>
    <w:pPr>
      <w:keepNext/>
      <w:pBdr>
        <w:bottom w:val="single" w:sz="12" w:space="3" w:color="FF9933"/>
      </w:pBdr>
      <w:spacing w:before="0" w:after="0" w:line="240" w:lineRule="auto"/>
      <w:contextualSpacing/>
      <w:outlineLvl w:val="0"/>
    </w:pPr>
    <w:rPr>
      <w:rFonts w:ascii="Verdana" w:hAnsi="Verdana"/>
      <w:sz w:val="36"/>
      <w:szCs w:val="36"/>
    </w:rPr>
  </w:style>
  <w:style w:type="paragraph" w:styleId="Heading2">
    <w:name w:val="heading 2"/>
    <w:basedOn w:val="Normal"/>
    <w:next w:val="Normal"/>
    <w:qFormat/>
    <w:pPr>
      <w:keepNext/>
      <w:spacing w:before="0" w:after="0" w:line="240" w:lineRule="exact"/>
      <w:outlineLvl w:val="1"/>
    </w:pPr>
    <w:rPr>
      <w:rFonts w:ascii="Verdana" w:hAnsi="Verdana" w:cs="Arial"/>
      <w:szCs w:val="28"/>
    </w:rPr>
  </w:style>
  <w:style w:type="paragraph" w:styleId="Heading3">
    <w:name w:val="heading 3"/>
    <w:basedOn w:val="Normal"/>
    <w:next w:val="Normal"/>
    <w:autoRedefine/>
    <w:qFormat/>
    <w:pPr>
      <w:keepNext/>
      <w:spacing w:before="480" w:line="240" w:lineRule="auto"/>
      <w:outlineLvl w:val="2"/>
    </w:pPr>
    <w:rPr>
      <w:rFonts w:ascii="Verdana" w:hAnsi="Verdana"/>
      <w:b/>
      <w:color w:val="FF99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next w:val="Normal"/>
    <w:pPr>
      <w:numPr>
        <w:numId w:val="2"/>
      </w:numPr>
      <w:tabs>
        <w:tab w:val="clear" w:pos="1440"/>
      </w:tabs>
      <w:spacing w:before="360"/>
      <w:ind w:left="0" w:hanging="374"/>
    </w:pPr>
    <w:rPr>
      <w:rFonts w:ascii="Verdana" w:hAnsi="Verdana"/>
      <w:b/>
      <w:bCs/>
      <w:color w:val="FF9900"/>
    </w:rPr>
  </w:style>
  <w:style w:type="paragraph" w:styleId="Header">
    <w:name w:val="header"/>
    <w:basedOn w:val="Normal"/>
    <w:link w:val="HeaderChar"/>
    <w:uiPriority w:val="99"/>
    <w:rsid w:val="006C2B5C"/>
    <w:pPr>
      <w:tabs>
        <w:tab w:val="center" w:pos="4320"/>
        <w:tab w:val="right" w:pos="8640"/>
      </w:tabs>
    </w:pPr>
  </w:style>
  <w:style w:type="paragraph" w:styleId="Footer">
    <w:name w:val="footer"/>
    <w:basedOn w:val="Normal"/>
    <w:link w:val="FooterChar"/>
    <w:uiPriority w:val="99"/>
    <w:rsid w:val="006C2B5C"/>
    <w:pPr>
      <w:tabs>
        <w:tab w:val="center" w:pos="4320"/>
        <w:tab w:val="right" w:pos="8640"/>
      </w:tabs>
    </w:pPr>
    <w:rPr>
      <w:rFonts w:ascii="Verdana" w:hAnsi="Verdana"/>
      <w:color w:val="808080"/>
      <w:sz w:val="16"/>
      <w:szCs w:val="16"/>
    </w:rPr>
  </w:style>
  <w:style w:type="table" w:styleId="TableGrid">
    <w:name w:val="Table Grid"/>
    <w:basedOn w:val="TableNormal"/>
    <w:rsid w:val="00D41984"/>
    <w:pPr>
      <w:spacing w:before="120"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pPr>
      <w:numPr>
        <w:numId w:val="3"/>
      </w:numPr>
      <w:tabs>
        <w:tab w:val="clear" w:pos="360"/>
      </w:tabs>
      <w:spacing w:line="240" w:lineRule="exact"/>
      <w:ind w:left="1122" w:right="38" w:hanging="374"/>
    </w:pPr>
  </w:style>
  <w:style w:type="paragraph" w:customStyle="1" w:styleId="TableText">
    <w:name w:val="Table Text"/>
    <w:basedOn w:val="Normal"/>
    <w:rsid w:val="00576E32"/>
    <w:pPr>
      <w:spacing w:before="0" w:after="0" w:line="200" w:lineRule="exact"/>
    </w:pPr>
    <w:rPr>
      <w:rFonts w:ascii="Verdana" w:hAnsi="Verdana"/>
      <w:sz w:val="16"/>
      <w:szCs w:val="16"/>
    </w:rPr>
  </w:style>
  <w:style w:type="paragraph" w:customStyle="1" w:styleId="TableTextBold">
    <w:name w:val="Table Text Bold"/>
    <w:basedOn w:val="TableText"/>
    <w:rsid w:val="00576E32"/>
    <w:rPr>
      <w:b/>
    </w:rPr>
  </w:style>
  <w:style w:type="character" w:customStyle="1" w:styleId="HeaderChar">
    <w:name w:val="Header Char"/>
    <w:link w:val="Header"/>
    <w:uiPriority w:val="99"/>
    <w:rsid w:val="000168EA"/>
    <w:rPr>
      <w:rFonts w:ascii="Georgia" w:hAnsi="Georgia"/>
    </w:rPr>
  </w:style>
  <w:style w:type="paragraph" w:styleId="BalloonText">
    <w:name w:val="Balloon Text"/>
    <w:basedOn w:val="Normal"/>
    <w:link w:val="BalloonTextChar"/>
    <w:rsid w:val="000168E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0168EA"/>
    <w:rPr>
      <w:rFonts w:ascii="Tahoma" w:hAnsi="Tahoma" w:cs="Tahoma"/>
      <w:sz w:val="16"/>
      <w:szCs w:val="16"/>
    </w:rPr>
  </w:style>
  <w:style w:type="character" w:customStyle="1" w:styleId="FooterChar">
    <w:name w:val="Footer Char"/>
    <w:basedOn w:val="DefaultParagraphFont"/>
    <w:link w:val="Footer"/>
    <w:uiPriority w:val="99"/>
    <w:rsid w:val="004B78F1"/>
    <w:rPr>
      <w:rFonts w:ascii="Verdana" w:hAnsi="Verdana"/>
      <w:color w:val="808080"/>
      <w:sz w:val="16"/>
      <w:szCs w:val="16"/>
    </w:rPr>
  </w:style>
  <w:style w:type="paragraph" w:styleId="ListParagraph">
    <w:name w:val="List Paragraph"/>
    <w:basedOn w:val="Normal"/>
    <w:uiPriority w:val="34"/>
    <w:qFormat/>
    <w:rsid w:val="00C4183B"/>
    <w:pPr>
      <w:spacing w:before="0" w:after="200" w:line="276" w:lineRule="auto"/>
      <w:ind w:left="720"/>
      <w:contextualSpacing/>
    </w:pPr>
    <w:rPr>
      <w:rFonts w:ascii="Cambria" w:eastAsiaTheme="minorHAnsi" w:hAnsi="Cambr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06AA2"/>
    <w:pPr>
      <w:spacing w:before="120" w:after="120" w:line="280" w:lineRule="exact"/>
    </w:pPr>
    <w:rPr>
      <w:rFonts w:ascii="Georgia" w:hAnsi="Georgia"/>
    </w:rPr>
  </w:style>
  <w:style w:type="paragraph" w:styleId="Heading1">
    <w:name w:val="heading 1"/>
    <w:basedOn w:val="Normal"/>
    <w:next w:val="Normal"/>
    <w:autoRedefine/>
    <w:qFormat/>
    <w:rsid w:val="002A77F9"/>
    <w:pPr>
      <w:keepNext/>
      <w:pBdr>
        <w:bottom w:val="single" w:sz="12" w:space="3" w:color="FF9933"/>
      </w:pBdr>
      <w:spacing w:before="0" w:after="0" w:line="240" w:lineRule="auto"/>
      <w:contextualSpacing/>
      <w:outlineLvl w:val="0"/>
    </w:pPr>
    <w:rPr>
      <w:rFonts w:ascii="Verdana" w:hAnsi="Verdana"/>
      <w:sz w:val="36"/>
      <w:szCs w:val="36"/>
    </w:rPr>
  </w:style>
  <w:style w:type="paragraph" w:styleId="Heading2">
    <w:name w:val="heading 2"/>
    <w:basedOn w:val="Normal"/>
    <w:next w:val="Normal"/>
    <w:qFormat/>
    <w:pPr>
      <w:keepNext/>
      <w:spacing w:before="0" w:after="0" w:line="240" w:lineRule="exact"/>
      <w:outlineLvl w:val="1"/>
    </w:pPr>
    <w:rPr>
      <w:rFonts w:ascii="Verdana" w:hAnsi="Verdana" w:cs="Arial"/>
      <w:szCs w:val="28"/>
    </w:rPr>
  </w:style>
  <w:style w:type="paragraph" w:styleId="Heading3">
    <w:name w:val="heading 3"/>
    <w:basedOn w:val="Normal"/>
    <w:next w:val="Normal"/>
    <w:autoRedefine/>
    <w:qFormat/>
    <w:pPr>
      <w:keepNext/>
      <w:spacing w:before="480" w:line="240" w:lineRule="auto"/>
      <w:outlineLvl w:val="2"/>
    </w:pPr>
    <w:rPr>
      <w:rFonts w:ascii="Verdana" w:hAnsi="Verdana"/>
      <w:b/>
      <w:color w:val="FF99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next w:val="Normal"/>
    <w:pPr>
      <w:numPr>
        <w:numId w:val="2"/>
      </w:numPr>
      <w:tabs>
        <w:tab w:val="clear" w:pos="1440"/>
      </w:tabs>
      <w:spacing w:before="360"/>
      <w:ind w:left="0" w:hanging="374"/>
    </w:pPr>
    <w:rPr>
      <w:rFonts w:ascii="Verdana" w:hAnsi="Verdana"/>
      <w:b/>
      <w:bCs/>
      <w:color w:val="FF9900"/>
    </w:rPr>
  </w:style>
  <w:style w:type="paragraph" w:styleId="Header">
    <w:name w:val="header"/>
    <w:basedOn w:val="Normal"/>
    <w:link w:val="HeaderChar"/>
    <w:uiPriority w:val="99"/>
    <w:rsid w:val="006C2B5C"/>
    <w:pPr>
      <w:tabs>
        <w:tab w:val="center" w:pos="4320"/>
        <w:tab w:val="right" w:pos="8640"/>
      </w:tabs>
    </w:pPr>
  </w:style>
  <w:style w:type="paragraph" w:styleId="Footer">
    <w:name w:val="footer"/>
    <w:basedOn w:val="Normal"/>
    <w:link w:val="FooterChar"/>
    <w:uiPriority w:val="99"/>
    <w:rsid w:val="006C2B5C"/>
    <w:pPr>
      <w:tabs>
        <w:tab w:val="center" w:pos="4320"/>
        <w:tab w:val="right" w:pos="8640"/>
      </w:tabs>
    </w:pPr>
    <w:rPr>
      <w:rFonts w:ascii="Verdana" w:hAnsi="Verdana"/>
      <w:color w:val="808080"/>
      <w:sz w:val="16"/>
      <w:szCs w:val="16"/>
    </w:rPr>
  </w:style>
  <w:style w:type="table" w:styleId="TableGrid">
    <w:name w:val="Table Grid"/>
    <w:basedOn w:val="TableNormal"/>
    <w:rsid w:val="00D41984"/>
    <w:pPr>
      <w:spacing w:before="120"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pPr>
      <w:numPr>
        <w:numId w:val="3"/>
      </w:numPr>
      <w:tabs>
        <w:tab w:val="clear" w:pos="360"/>
      </w:tabs>
      <w:spacing w:line="240" w:lineRule="exact"/>
      <w:ind w:left="1122" w:right="38" w:hanging="374"/>
    </w:pPr>
  </w:style>
  <w:style w:type="paragraph" w:customStyle="1" w:styleId="TableText">
    <w:name w:val="Table Text"/>
    <w:basedOn w:val="Normal"/>
    <w:rsid w:val="00576E32"/>
    <w:pPr>
      <w:spacing w:before="0" w:after="0" w:line="200" w:lineRule="exact"/>
    </w:pPr>
    <w:rPr>
      <w:rFonts w:ascii="Verdana" w:hAnsi="Verdana"/>
      <w:sz w:val="16"/>
      <w:szCs w:val="16"/>
    </w:rPr>
  </w:style>
  <w:style w:type="paragraph" w:customStyle="1" w:styleId="TableTextBold">
    <w:name w:val="Table Text Bold"/>
    <w:basedOn w:val="TableText"/>
    <w:rsid w:val="00576E32"/>
    <w:rPr>
      <w:b/>
    </w:rPr>
  </w:style>
  <w:style w:type="character" w:customStyle="1" w:styleId="HeaderChar">
    <w:name w:val="Header Char"/>
    <w:link w:val="Header"/>
    <w:uiPriority w:val="99"/>
    <w:rsid w:val="000168EA"/>
    <w:rPr>
      <w:rFonts w:ascii="Georgia" w:hAnsi="Georgia"/>
    </w:rPr>
  </w:style>
  <w:style w:type="paragraph" w:styleId="BalloonText">
    <w:name w:val="Balloon Text"/>
    <w:basedOn w:val="Normal"/>
    <w:link w:val="BalloonTextChar"/>
    <w:rsid w:val="000168E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0168EA"/>
    <w:rPr>
      <w:rFonts w:ascii="Tahoma" w:hAnsi="Tahoma" w:cs="Tahoma"/>
      <w:sz w:val="16"/>
      <w:szCs w:val="16"/>
    </w:rPr>
  </w:style>
  <w:style w:type="character" w:customStyle="1" w:styleId="FooterChar">
    <w:name w:val="Footer Char"/>
    <w:basedOn w:val="DefaultParagraphFont"/>
    <w:link w:val="Footer"/>
    <w:uiPriority w:val="99"/>
    <w:rsid w:val="004B78F1"/>
    <w:rPr>
      <w:rFonts w:ascii="Verdana" w:hAnsi="Verdana"/>
      <w:color w:val="808080"/>
      <w:sz w:val="16"/>
      <w:szCs w:val="16"/>
    </w:rPr>
  </w:style>
  <w:style w:type="paragraph" w:styleId="ListParagraph">
    <w:name w:val="List Paragraph"/>
    <w:basedOn w:val="Normal"/>
    <w:uiPriority w:val="34"/>
    <w:qFormat/>
    <w:rsid w:val="00C4183B"/>
    <w:pPr>
      <w:spacing w:before="0" w:after="200" w:line="276" w:lineRule="auto"/>
      <w:ind w:left="720"/>
      <w:contextualSpacing/>
    </w:pPr>
    <w:rPr>
      <w:rFonts w:ascii="Cambria" w:eastAsiaTheme="minorHAnsi"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6388">
      <w:bodyDiv w:val="1"/>
      <w:marLeft w:val="0"/>
      <w:marRight w:val="0"/>
      <w:marTop w:val="0"/>
      <w:marBottom w:val="0"/>
      <w:divBdr>
        <w:top w:val="none" w:sz="0" w:space="0" w:color="auto"/>
        <w:left w:val="none" w:sz="0" w:space="0" w:color="auto"/>
        <w:bottom w:val="none" w:sz="0" w:space="0" w:color="auto"/>
        <w:right w:val="none" w:sz="0" w:space="0" w:color="auto"/>
      </w:divBdr>
      <w:divsChild>
        <w:div w:id="1672830309">
          <w:marLeft w:val="0"/>
          <w:marRight w:val="0"/>
          <w:marTop w:val="0"/>
          <w:marBottom w:val="0"/>
          <w:divBdr>
            <w:top w:val="none" w:sz="0" w:space="0" w:color="auto"/>
            <w:left w:val="none" w:sz="0" w:space="0" w:color="auto"/>
            <w:bottom w:val="none" w:sz="0" w:space="0" w:color="auto"/>
            <w:right w:val="none" w:sz="0" w:space="0" w:color="auto"/>
          </w:divBdr>
          <w:divsChild>
            <w:div w:id="14428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8464">
      <w:bodyDiv w:val="1"/>
      <w:marLeft w:val="0"/>
      <w:marRight w:val="0"/>
      <w:marTop w:val="0"/>
      <w:marBottom w:val="0"/>
      <w:divBdr>
        <w:top w:val="none" w:sz="0" w:space="0" w:color="auto"/>
        <w:left w:val="none" w:sz="0" w:space="0" w:color="auto"/>
        <w:bottom w:val="none" w:sz="0" w:space="0" w:color="auto"/>
        <w:right w:val="none" w:sz="0" w:space="0" w:color="auto"/>
      </w:divBdr>
      <w:divsChild>
        <w:div w:id="2038070668">
          <w:marLeft w:val="0"/>
          <w:marRight w:val="0"/>
          <w:marTop w:val="0"/>
          <w:marBottom w:val="0"/>
          <w:divBdr>
            <w:top w:val="none" w:sz="0" w:space="0" w:color="auto"/>
            <w:left w:val="none" w:sz="0" w:space="0" w:color="auto"/>
            <w:bottom w:val="none" w:sz="0" w:space="0" w:color="auto"/>
            <w:right w:val="none" w:sz="0" w:space="0" w:color="auto"/>
          </w:divBdr>
          <w:divsChild>
            <w:div w:id="1416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458">
      <w:bodyDiv w:val="1"/>
      <w:marLeft w:val="0"/>
      <w:marRight w:val="0"/>
      <w:marTop w:val="0"/>
      <w:marBottom w:val="0"/>
      <w:divBdr>
        <w:top w:val="none" w:sz="0" w:space="0" w:color="auto"/>
        <w:left w:val="none" w:sz="0" w:space="0" w:color="auto"/>
        <w:bottom w:val="none" w:sz="0" w:space="0" w:color="auto"/>
        <w:right w:val="none" w:sz="0" w:space="0" w:color="auto"/>
      </w:divBdr>
      <w:divsChild>
        <w:div w:id="1980840174">
          <w:marLeft w:val="0"/>
          <w:marRight w:val="0"/>
          <w:marTop w:val="0"/>
          <w:marBottom w:val="0"/>
          <w:divBdr>
            <w:top w:val="none" w:sz="0" w:space="0" w:color="auto"/>
            <w:left w:val="none" w:sz="0" w:space="0" w:color="auto"/>
            <w:bottom w:val="none" w:sz="0" w:space="0" w:color="auto"/>
            <w:right w:val="none" w:sz="0" w:space="0" w:color="auto"/>
          </w:divBdr>
          <w:divsChild>
            <w:div w:id="169518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46391">
      <w:bodyDiv w:val="1"/>
      <w:marLeft w:val="0"/>
      <w:marRight w:val="0"/>
      <w:marTop w:val="0"/>
      <w:marBottom w:val="0"/>
      <w:divBdr>
        <w:top w:val="none" w:sz="0" w:space="0" w:color="auto"/>
        <w:left w:val="none" w:sz="0" w:space="0" w:color="auto"/>
        <w:bottom w:val="none" w:sz="0" w:space="0" w:color="auto"/>
        <w:right w:val="none" w:sz="0" w:space="0" w:color="auto"/>
      </w:divBdr>
      <w:divsChild>
        <w:div w:id="430006486">
          <w:marLeft w:val="0"/>
          <w:marRight w:val="0"/>
          <w:marTop w:val="0"/>
          <w:marBottom w:val="0"/>
          <w:divBdr>
            <w:top w:val="none" w:sz="0" w:space="0" w:color="auto"/>
            <w:left w:val="none" w:sz="0" w:space="0" w:color="auto"/>
            <w:bottom w:val="none" w:sz="0" w:space="0" w:color="auto"/>
            <w:right w:val="none" w:sz="0" w:space="0" w:color="auto"/>
          </w:divBdr>
          <w:divsChild>
            <w:div w:id="1396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49836">
      <w:bodyDiv w:val="1"/>
      <w:marLeft w:val="0"/>
      <w:marRight w:val="0"/>
      <w:marTop w:val="0"/>
      <w:marBottom w:val="0"/>
      <w:divBdr>
        <w:top w:val="none" w:sz="0" w:space="0" w:color="auto"/>
        <w:left w:val="none" w:sz="0" w:space="0" w:color="auto"/>
        <w:bottom w:val="none" w:sz="0" w:space="0" w:color="auto"/>
        <w:right w:val="none" w:sz="0" w:space="0" w:color="auto"/>
      </w:divBdr>
      <w:divsChild>
        <w:div w:id="556358750">
          <w:marLeft w:val="0"/>
          <w:marRight w:val="0"/>
          <w:marTop w:val="0"/>
          <w:marBottom w:val="0"/>
          <w:divBdr>
            <w:top w:val="none" w:sz="0" w:space="0" w:color="auto"/>
            <w:left w:val="none" w:sz="0" w:space="0" w:color="auto"/>
            <w:bottom w:val="none" w:sz="0" w:space="0" w:color="auto"/>
            <w:right w:val="none" w:sz="0" w:space="0" w:color="auto"/>
          </w:divBdr>
          <w:divsChild>
            <w:div w:id="2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41407">
      <w:bodyDiv w:val="1"/>
      <w:marLeft w:val="0"/>
      <w:marRight w:val="0"/>
      <w:marTop w:val="0"/>
      <w:marBottom w:val="0"/>
      <w:divBdr>
        <w:top w:val="none" w:sz="0" w:space="0" w:color="auto"/>
        <w:left w:val="none" w:sz="0" w:space="0" w:color="auto"/>
        <w:bottom w:val="none" w:sz="0" w:space="0" w:color="auto"/>
        <w:right w:val="none" w:sz="0" w:space="0" w:color="auto"/>
      </w:divBdr>
      <w:divsChild>
        <w:div w:id="1867325787">
          <w:marLeft w:val="0"/>
          <w:marRight w:val="0"/>
          <w:marTop w:val="0"/>
          <w:marBottom w:val="0"/>
          <w:divBdr>
            <w:top w:val="none" w:sz="0" w:space="0" w:color="auto"/>
            <w:left w:val="none" w:sz="0" w:space="0" w:color="auto"/>
            <w:bottom w:val="none" w:sz="0" w:space="0" w:color="auto"/>
            <w:right w:val="none" w:sz="0" w:space="0" w:color="auto"/>
          </w:divBdr>
          <w:divsChild>
            <w:div w:id="9690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19823">
      <w:bodyDiv w:val="1"/>
      <w:marLeft w:val="0"/>
      <w:marRight w:val="0"/>
      <w:marTop w:val="0"/>
      <w:marBottom w:val="0"/>
      <w:divBdr>
        <w:top w:val="none" w:sz="0" w:space="0" w:color="auto"/>
        <w:left w:val="none" w:sz="0" w:space="0" w:color="auto"/>
        <w:bottom w:val="none" w:sz="0" w:space="0" w:color="auto"/>
        <w:right w:val="none" w:sz="0" w:space="0" w:color="auto"/>
      </w:divBdr>
      <w:divsChild>
        <w:div w:id="368145284">
          <w:marLeft w:val="0"/>
          <w:marRight w:val="0"/>
          <w:marTop w:val="0"/>
          <w:marBottom w:val="0"/>
          <w:divBdr>
            <w:top w:val="none" w:sz="0" w:space="0" w:color="auto"/>
            <w:left w:val="none" w:sz="0" w:space="0" w:color="auto"/>
            <w:bottom w:val="none" w:sz="0" w:space="0" w:color="auto"/>
            <w:right w:val="none" w:sz="0" w:space="0" w:color="auto"/>
          </w:divBdr>
          <w:divsChild>
            <w:div w:id="7269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0849">
      <w:bodyDiv w:val="1"/>
      <w:marLeft w:val="0"/>
      <w:marRight w:val="0"/>
      <w:marTop w:val="0"/>
      <w:marBottom w:val="0"/>
      <w:divBdr>
        <w:top w:val="none" w:sz="0" w:space="0" w:color="auto"/>
        <w:left w:val="none" w:sz="0" w:space="0" w:color="auto"/>
        <w:bottom w:val="none" w:sz="0" w:space="0" w:color="auto"/>
        <w:right w:val="none" w:sz="0" w:space="0" w:color="auto"/>
      </w:divBdr>
    </w:div>
    <w:div w:id="1210219952">
      <w:bodyDiv w:val="1"/>
      <w:marLeft w:val="0"/>
      <w:marRight w:val="0"/>
      <w:marTop w:val="0"/>
      <w:marBottom w:val="0"/>
      <w:divBdr>
        <w:top w:val="none" w:sz="0" w:space="0" w:color="auto"/>
        <w:left w:val="none" w:sz="0" w:space="0" w:color="auto"/>
        <w:bottom w:val="none" w:sz="0" w:space="0" w:color="auto"/>
        <w:right w:val="none" w:sz="0" w:space="0" w:color="auto"/>
      </w:divBdr>
      <w:divsChild>
        <w:div w:id="14768546">
          <w:marLeft w:val="0"/>
          <w:marRight w:val="0"/>
          <w:marTop w:val="0"/>
          <w:marBottom w:val="0"/>
          <w:divBdr>
            <w:top w:val="none" w:sz="0" w:space="0" w:color="auto"/>
            <w:left w:val="none" w:sz="0" w:space="0" w:color="auto"/>
            <w:bottom w:val="none" w:sz="0" w:space="0" w:color="auto"/>
            <w:right w:val="none" w:sz="0" w:space="0" w:color="auto"/>
          </w:divBdr>
        </w:div>
      </w:divsChild>
    </w:div>
    <w:div w:id="1267302273">
      <w:bodyDiv w:val="1"/>
      <w:marLeft w:val="0"/>
      <w:marRight w:val="0"/>
      <w:marTop w:val="0"/>
      <w:marBottom w:val="0"/>
      <w:divBdr>
        <w:top w:val="none" w:sz="0" w:space="0" w:color="auto"/>
        <w:left w:val="none" w:sz="0" w:space="0" w:color="auto"/>
        <w:bottom w:val="none" w:sz="0" w:space="0" w:color="auto"/>
        <w:right w:val="none" w:sz="0" w:space="0" w:color="auto"/>
      </w:divBdr>
      <w:divsChild>
        <w:div w:id="1123384587">
          <w:marLeft w:val="0"/>
          <w:marRight w:val="0"/>
          <w:marTop w:val="0"/>
          <w:marBottom w:val="0"/>
          <w:divBdr>
            <w:top w:val="none" w:sz="0" w:space="0" w:color="auto"/>
            <w:left w:val="none" w:sz="0" w:space="0" w:color="auto"/>
            <w:bottom w:val="none" w:sz="0" w:space="0" w:color="auto"/>
            <w:right w:val="none" w:sz="0" w:space="0" w:color="auto"/>
          </w:divBdr>
          <w:divsChild>
            <w:div w:id="13178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5225">
      <w:bodyDiv w:val="1"/>
      <w:marLeft w:val="0"/>
      <w:marRight w:val="0"/>
      <w:marTop w:val="0"/>
      <w:marBottom w:val="0"/>
      <w:divBdr>
        <w:top w:val="none" w:sz="0" w:space="0" w:color="auto"/>
        <w:left w:val="none" w:sz="0" w:space="0" w:color="auto"/>
        <w:bottom w:val="none" w:sz="0" w:space="0" w:color="auto"/>
        <w:right w:val="none" w:sz="0" w:space="0" w:color="auto"/>
      </w:divBdr>
      <w:divsChild>
        <w:div w:id="1045369786">
          <w:marLeft w:val="0"/>
          <w:marRight w:val="0"/>
          <w:marTop w:val="0"/>
          <w:marBottom w:val="0"/>
          <w:divBdr>
            <w:top w:val="none" w:sz="0" w:space="0" w:color="auto"/>
            <w:left w:val="none" w:sz="0" w:space="0" w:color="auto"/>
            <w:bottom w:val="none" w:sz="0" w:space="0" w:color="auto"/>
            <w:right w:val="none" w:sz="0" w:space="0" w:color="auto"/>
          </w:divBdr>
          <w:divsChild>
            <w:div w:id="15664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762">
      <w:bodyDiv w:val="1"/>
      <w:marLeft w:val="0"/>
      <w:marRight w:val="0"/>
      <w:marTop w:val="0"/>
      <w:marBottom w:val="0"/>
      <w:divBdr>
        <w:top w:val="none" w:sz="0" w:space="0" w:color="auto"/>
        <w:left w:val="none" w:sz="0" w:space="0" w:color="auto"/>
        <w:bottom w:val="none" w:sz="0" w:space="0" w:color="auto"/>
        <w:right w:val="none" w:sz="0" w:space="0" w:color="auto"/>
      </w:divBdr>
      <w:divsChild>
        <w:div w:id="2110807045">
          <w:marLeft w:val="0"/>
          <w:marRight w:val="0"/>
          <w:marTop w:val="0"/>
          <w:marBottom w:val="0"/>
          <w:divBdr>
            <w:top w:val="none" w:sz="0" w:space="0" w:color="auto"/>
            <w:left w:val="none" w:sz="0" w:space="0" w:color="auto"/>
            <w:bottom w:val="none" w:sz="0" w:space="0" w:color="auto"/>
            <w:right w:val="none" w:sz="0" w:space="0" w:color="auto"/>
          </w:divBdr>
          <w:divsChild>
            <w:div w:id="7339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6921">
      <w:bodyDiv w:val="1"/>
      <w:marLeft w:val="0"/>
      <w:marRight w:val="0"/>
      <w:marTop w:val="0"/>
      <w:marBottom w:val="0"/>
      <w:divBdr>
        <w:top w:val="none" w:sz="0" w:space="0" w:color="auto"/>
        <w:left w:val="none" w:sz="0" w:space="0" w:color="auto"/>
        <w:bottom w:val="none" w:sz="0" w:space="0" w:color="auto"/>
        <w:right w:val="none" w:sz="0" w:space="0" w:color="auto"/>
      </w:divBdr>
      <w:divsChild>
        <w:div w:id="858661849">
          <w:marLeft w:val="0"/>
          <w:marRight w:val="0"/>
          <w:marTop w:val="0"/>
          <w:marBottom w:val="0"/>
          <w:divBdr>
            <w:top w:val="none" w:sz="0" w:space="0" w:color="auto"/>
            <w:left w:val="none" w:sz="0" w:space="0" w:color="auto"/>
            <w:bottom w:val="none" w:sz="0" w:space="0" w:color="auto"/>
            <w:right w:val="none" w:sz="0" w:space="0" w:color="auto"/>
          </w:divBdr>
          <w:divsChild>
            <w:div w:id="106707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120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4">
          <w:marLeft w:val="0"/>
          <w:marRight w:val="0"/>
          <w:marTop w:val="0"/>
          <w:marBottom w:val="0"/>
          <w:divBdr>
            <w:top w:val="none" w:sz="0" w:space="0" w:color="auto"/>
            <w:left w:val="none" w:sz="0" w:space="0" w:color="auto"/>
            <w:bottom w:val="none" w:sz="0" w:space="0" w:color="auto"/>
            <w:right w:val="none" w:sz="0" w:space="0" w:color="auto"/>
          </w:divBdr>
          <w:divsChild>
            <w:div w:id="20898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7057">
      <w:bodyDiv w:val="1"/>
      <w:marLeft w:val="0"/>
      <w:marRight w:val="0"/>
      <w:marTop w:val="0"/>
      <w:marBottom w:val="0"/>
      <w:divBdr>
        <w:top w:val="none" w:sz="0" w:space="0" w:color="auto"/>
        <w:left w:val="none" w:sz="0" w:space="0" w:color="auto"/>
        <w:bottom w:val="none" w:sz="0" w:space="0" w:color="auto"/>
        <w:right w:val="none" w:sz="0" w:space="0" w:color="auto"/>
      </w:divBdr>
      <w:divsChild>
        <w:div w:id="794565813">
          <w:marLeft w:val="0"/>
          <w:marRight w:val="0"/>
          <w:marTop w:val="0"/>
          <w:marBottom w:val="0"/>
          <w:divBdr>
            <w:top w:val="none" w:sz="0" w:space="0" w:color="auto"/>
            <w:left w:val="none" w:sz="0" w:space="0" w:color="auto"/>
            <w:bottom w:val="none" w:sz="0" w:space="0" w:color="auto"/>
            <w:right w:val="none" w:sz="0" w:space="0" w:color="auto"/>
          </w:divBdr>
        </w:div>
      </w:divsChild>
    </w:div>
    <w:div w:id="1944611130">
      <w:bodyDiv w:val="1"/>
      <w:marLeft w:val="0"/>
      <w:marRight w:val="0"/>
      <w:marTop w:val="0"/>
      <w:marBottom w:val="0"/>
      <w:divBdr>
        <w:top w:val="none" w:sz="0" w:space="0" w:color="auto"/>
        <w:left w:val="none" w:sz="0" w:space="0" w:color="auto"/>
        <w:bottom w:val="none" w:sz="0" w:space="0" w:color="auto"/>
        <w:right w:val="none" w:sz="0" w:space="0" w:color="auto"/>
      </w:divBdr>
      <w:divsChild>
        <w:div w:id="1399859883">
          <w:marLeft w:val="0"/>
          <w:marRight w:val="0"/>
          <w:marTop w:val="0"/>
          <w:marBottom w:val="0"/>
          <w:divBdr>
            <w:top w:val="none" w:sz="0" w:space="0" w:color="auto"/>
            <w:left w:val="none" w:sz="0" w:space="0" w:color="auto"/>
            <w:bottom w:val="none" w:sz="0" w:space="0" w:color="auto"/>
            <w:right w:val="none" w:sz="0" w:space="0" w:color="auto"/>
          </w:divBdr>
        </w:div>
      </w:divsChild>
    </w:div>
    <w:div w:id="1992785325">
      <w:bodyDiv w:val="1"/>
      <w:marLeft w:val="0"/>
      <w:marRight w:val="0"/>
      <w:marTop w:val="0"/>
      <w:marBottom w:val="0"/>
      <w:divBdr>
        <w:top w:val="none" w:sz="0" w:space="0" w:color="auto"/>
        <w:left w:val="none" w:sz="0" w:space="0" w:color="auto"/>
        <w:bottom w:val="none" w:sz="0" w:space="0" w:color="auto"/>
        <w:right w:val="none" w:sz="0" w:space="0" w:color="auto"/>
      </w:divBdr>
      <w:divsChild>
        <w:div w:id="364521845">
          <w:marLeft w:val="0"/>
          <w:marRight w:val="0"/>
          <w:marTop w:val="0"/>
          <w:marBottom w:val="0"/>
          <w:divBdr>
            <w:top w:val="none" w:sz="0" w:space="0" w:color="auto"/>
            <w:left w:val="none" w:sz="0" w:space="0" w:color="auto"/>
            <w:bottom w:val="none" w:sz="0" w:space="0" w:color="auto"/>
            <w:right w:val="none" w:sz="0" w:space="0" w:color="auto"/>
          </w:divBdr>
          <w:divsChild>
            <w:div w:id="443503375">
              <w:marLeft w:val="0"/>
              <w:marRight w:val="0"/>
              <w:marTop w:val="0"/>
              <w:marBottom w:val="0"/>
              <w:divBdr>
                <w:top w:val="none" w:sz="0" w:space="0" w:color="auto"/>
                <w:left w:val="none" w:sz="0" w:space="0" w:color="auto"/>
                <w:bottom w:val="none" w:sz="0" w:space="0" w:color="auto"/>
                <w:right w:val="none" w:sz="0" w:space="0" w:color="auto"/>
              </w:divBdr>
            </w:div>
            <w:div w:id="11728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0941">
      <w:bodyDiv w:val="1"/>
      <w:marLeft w:val="0"/>
      <w:marRight w:val="0"/>
      <w:marTop w:val="0"/>
      <w:marBottom w:val="0"/>
      <w:divBdr>
        <w:top w:val="none" w:sz="0" w:space="0" w:color="auto"/>
        <w:left w:val="none" w:sz="0" w:space="0" w:color="auto"/>
        <w:bottom w:val="none" w:sz="0" w:space="0" w:color="auto"/>
        <w:right w:val="none" w:sz="0" w:space="0" w:color="auto"/>
      </w:divBdr>
      <w:divsChild>
        <w:div w:id="467745299">
          <w:marLeft w:val="0"/>
          <w:marRight w:val="0"/>
          <w:marTop w:val="0"/>
          <w:marBottom w:val="0"/>
          <w:divBdr>
            <w:top w:val="none" w:sz="0" w:space="0" w:color="auto"/>
            <w:left w:val="none" w:sz="0" w:space="0" w:color="auto"/>
            <w:bottom w:val="none" w:sz="0" w:space="0" w:color="auto"/>
            <w:right w:val="none" w:sz="0" w:space="0" w:color="auto"/>
          </w:divBdr>
          <w:divsChild>
            <w:div w:id="150516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Office\Templates\Competitive%20points%20list.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7DF0AA426804977B25E777D398F4609"/>
        <w:category>
          <w:name w:val="General"/>
          <w:gallery w:val="placeholder"/>
        </w:category>
        <w:types>
          <w:type w:val="bbPlcHdr"/>
        </w:types>
        <w:behaviors>
          <w:behavior w:val="content"/>
        </w:behaviors>
        <w:guid w:val="{5F7D5738-258D-4F05-8721-3C31009AD7D5}"/>
      </w:docPartPr>
      <w:docPartBody>
        <w:p w:rsidR="009D1A56" w:rsidRDefault="002E5046" w:rsidP="002E5046">
          <w:pPr>
            <w:pStyle w:val="57DF0AA426804977B25E777D398F4609"/>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046"/>
    <w:rsid w:val="000B4241"/>
    <w:rsid w:val="002E5046"/>
    <w:rsid w:val="009D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30EDEE766D4FCC9B4173C5E748ABE3">
    <w:name w:val="DE30EDEE766D4FCC9B4173C5E748ABE3"/>
    <w:rsid w:val="002E5046"/>
  </w:style>
  <w:style w:type="paragraph" w:customStyle="1" w:styleId="57DF0AA426804977B25E777D398F4609">
    <w:name w:val="57DF0AA426804977B25E777D398F4609"/>
    <w:rsid w:val="002E5046"/>
  </w:style>
  <w:style w:type="paragraph" w:customStyle="1" w:styleId="42DB160032904BA384959B68C19F354E">
    <w:name w:val="42DB160032904BA384959B68C19F354E"/>
    <w:rsid w:val="009D1A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30EDEE766D4FCC9B4173C5E748ABE3">
    <w:name w:val="DE30EDEE766D4FCC9B4173C5E748ABE3"/>
    <w:rsid w:val="002E5046"/>
  </w:style>
  <w:style w:type="paragraph" w:customStyle="1" w:styleId="57DF0AA426804977B25E777D398F4609">
    <w:name w:val="57DF0AA426804977B25E777D398F4609"/>
    <w:rsid w:val="002E5046"/>
  </w:style>
  <w:style w:type="paragraph" w:customStyle="1" w:styleId="42DB160032904BA384959B68C19F354E">
    <w:name w:val="42DB160032904BA384959B68C19F354E"/>
    <w:rsid w:val="009D1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Competitive points list.dot</Template>
  <TotalTime>0</TotalTime>
  <Pages>6</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06/11/2013</vt:lpstr>
    </vt:vector>
  </TitlesOfParts>
  <Company>Sales Performance International/Solution Selling, Inc.</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06/11/2013</dc:title>
  <dc:creator>Alicia Schoenhard</dc:creator>
  <cp:lastModifiedBy>DERC16967</cp:lastModifiedBy>
  <cp:revision>2</cp:revision>
  <cp:lastPrinted>2004-03-02T16:47:00Z</cp:lastPrinted>
  <dcterms:created xsi:type="dcterms:W3CDTF">2015-01-30T18:40:00Z</dcterms:created>
  <dcterms:modified xsi:type="dcterms:W3CDTF">2015-01-30T18:40:00Z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TC011038921033</vt:lpwstr>
  </property>
</Properties>
</file>